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0"/>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12</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301308</w:t>
      </w:r>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lang w:val="en-US" w:eastAsia="zh-CN"/>
        </w:rPr>
        <w:t>Athens</w:t>
      </w:r>
      <w:r>
        <w:rPr>
          <w:rFonts w:ascii="Arial" w:hAnsi="Arial" w:eastAsia="MS Mincho" w:cs="Arial"/>
          <w:b/>
          <w:bCs/>
          <w:sz w:val="28"/>
          <w:lang w:eastAsia="ja-JP"/>
        </w:rPr>
        <w:t xml:space="preserve">, </w:t>
      </w:r>
      <w:r>
        <w:rPr>
          <w:rFonts w:hint="eastAsia" w:ascii="Arial" w:hAnsi="Arial" w:cs="Arial"/>
          <w:b/>
          <w:bCs/>
          <w:sz w:val="28"/>
          <w:lang w:val="en-US" w:eastAsia="zh-CN"/>
        </w:rPr>
        <w:t>Greece, February</w:t>
      </w:r>
      <w:r>
        <w:rPr>
          <w:rFonts w:ascii="Arial" w:hAnsi="Arial" w:eastAsia="MS Mincho" w:cs="Arial"/>
          <w:b/>
          <w:bCs/>
          <w:sz w:val="28"/>
          <w:lang w:eastAsia="ja-JP"/>
        </w:rPr>
        <w:t xml:space="preserve"> </w:t>
      </w:r>
      <w:r>
        <w:rPr>
          <w:rFonts w:hint="eastAsia" w:ascii="Arial" w:hAnsi="Arial" w:cs="Arial"/>
          <w:b/>
          <w:bCs/>
          <w:sz w:val="28"/>
          <w:lang w:val="en-US" w:eastAsia="zh-CN"/>
        </w:rPr>
        <w:t>27</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March 3</w:t>
      </w:r>
      <w:r>
        <w:rPr>
          <w:rFonts w:hint="eastAsia" w:ascii="Arial" w:hAnsi="Arial" w:cs="Arial"/>
          <w:b/>
          <w:bCs/>
          <w:sz w:val="28"/>
          <w:vertAlign w:val="superscript"/>
          <w:lang w:val="en-US" w:eastAsia="zh-CN"/>
        </w:rPr>
        <w:t>rd</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b/>
        </w:rPr>
        <w:t>.</w:t>
      </w:r>
      <w:r>
        <w:rPr>
          <w:rFonts w:hint="eastAsia"/>
          <w:b/>
          <w:lang w:val="en-US" w:eastAsia="zh-CN"/>
        </w:rPr>
        <w:t>4.2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b/>
          <w:lang w:val="en-US" w:eastAsia="zh-CN"/>
        </w:rPr>
      </w:pPr>
      <w:r>
        <w:rPr>
          <w:b/>
        </w:rPr>
        <w:t>Title:</w:t>
      </w:r>
      <w:r>
        <w:rPr>
          <w:b/>
        </w:rPr>
        <w:tab/>
      </w:r>
      <w:r>
        <w:rPr>
          <w:rFonts w:hint="eastAsia"/>
          <w:b/>
          <w:lang w:val="en-US" w:eastAsia="zh-CN"/>
        </w:rPr>
        <w:t>Discussion of co-channel coexistence for LTE sidelink and NR sidelink</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eastAsia="zh-CN"/>
        </w:rPr>
      </w:pPr>
      <w:r>
        <w:rPr>
          <w:lang w:eastAsia="zh-CN"/>
        </w:rPr>
        <w:t>Introduction</w:t>
      </w:r>
      <w:bookmarkStart w:id="0" w:name="OLE_LINK13"/>
      <w:bookmarkStart w:id="1" w:name="OLE_LINK14"/>
      <w:bookmarkStart w:id="2" w:name="_Ref494215420"/>
    </w:p>
    <w:bookmarkEnd w:id="0"/>
    <w:bookmarkEnd w:id="1"/>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RAN#97e</w:t>
      </w:r>
      <w:r>
        <w:rPr>
          <w:lang w:eastAsia="zh-CN"/>
        </w:rPr>
        <w:t xml:space="preserve"> meeting</w:t>
      </w:r>
      <w:r>
        <w:rPr>
          <w:rFonts w:hint="eastAsia"/>
          <w:lang w:val="en-US" w:eastAsia="zh-CN"/>
        </w:rPr>
        <w:t xml:space="preserve">, this WID had been revised as the following: </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214" w:type="dxa"/>
            <w:noWrap w:val="0"/>
            <w:vAlign w:val="top"/>
          </w:tcPr>
          <w:p>
            <w:pPr>
              <w:pStyle w:val="4"/>
              <w:widowControl w:val="0"/>
              <w:numPr>
                <w:ilvl w:val="1"/>
                <w:numId w:val="8"/>
              </w:numPr>
              <w:rPr>
                <w:color w:val="0000FF"/>
              </w:rPr>
            </w:pPr>
            <w:r>
              <w:rPr>
                <w:color w:val="0000FF"/>
              </w:rPr>
              <w:t>Objective of SI or Core part WI or Testing part WI</w:t>
            </w:r>
          </w:p>
          <w:p>
            <w:pPr>
              <w:widowControl w:val="0"/>
              <w:jc w:val="center"/>
            </w:pPr>
            <w:r>
              <w:rPr>
                <w:rFonts w:hint="eastAsia" w:ascii="Times" w:hAnsi="Times" w:cs="Times"/>
                <w:lang w:val="en-US" w:eastAsia="zh-CN"/>
              </w:rPr>
              <w:t>......</w:t>
            </w:r>
          </w:p>
          <w:p>
            <w:pPr>
              <w:widowControl w:val="0"/>
              <w:numPr>
                <w:ilvl w:val="0"/>
                <w:numId w:val="9"/>
              </w:numPr>
              <w:overflowPunct w:val="0"/>
              <w:snapToGrid/>
              <w:spacing w:before="120" w:after="0"/>
              <w:ind w:left="142" w:leftChars="0"/>
              <w:jc w:val="left"/>
              <w:textAlignment w:val="baseline"/>
              <w:rPr>
                <w:rFonts w:ascii="Times" w:hAnsi="Times" w:eastAsia="Batang" w:cs="Times"/>
                <w:iCs/>
                <w:sz w:val="20"/>
                <w:szCs w:val="20"/>
                <w:lang w:val="en-GB" w:eastAsia="en-GB"/>
              </w:rPr>
            </w:pPr>
            <w:r>
              <w:rPr>
                <w:rFonts w:ascii="Times" w:hAnsi="Times" w:eastAsia="Batang" w:cs="Times"/>
                <w:sz w:val="20"/>
                <w:szCs w:val="20"/>
                <w:lang w:val="en-GB" w:eastAsia="en-GB"/>
              </w:rPr>
              <w:t>Study and specify, if necessary, mechanism(s) for co-channel coexistence for LTE sidelink and NR sidelink including performance, necessity, feasibility, and potential specification impact if any [RAN1, RAN2, RAN4]</w:t>
            </w:r>
          </w:p>
          <w:p>
            <w:pPr>
              <w:widowControl w:val="0"/>
              <w:numPr>
                <w:ilvl w:val="0"/>
                <w:numId w:val="10"/>
              </w:numPr>
              <w:overflowPunct w:val="0"/>
              <w:snapToGrid/>
              <w:spacing w:before="60" w:after="60"/>
              <w:ind w:left="993" w:hanging="284"/>
              <w:jc w:val="left"/>
              <w:textAlignment w:val="baseline"/>
              <w:rPr>
                <w:rFonts w:ascii="Times" w:hAnsi="Times" w:eastAsia="Batang" w:cs="Times"/>
                <w:iCs/>
                <w:sz w:val="20"/>
                <w:szCs w:val="20"/>
                <w:lang w:val="en-GB" w:eastAsia="ko-KR"/>
              </w:rPr>
            </w:pPr>
            <w:r>
              <w:rPr>
                <w:rFonts w:ascii="Times" w:hAnsi="Times" w:eastAsia="Batang" w:cs="Times"/>
                <w:sz w:val="20"/>
                <w:szCs w:val="20"/>
                <w:lang w:val="en-GB" w:eastAsia="ko-KR"/>
              </w:rPr>
              <w:t>Reuse the in-device coexistence framework defined in Rel-16 as much as possible</w:t>
            </w:r>
          </w:p>
          <w:p>
            <w:pPr>
              <w:widowControl w:val="0"/>
              <w:numPr>
                <w:ilvl w:val="0"/>
                <w:numId w:val="10"/>
              </w:numPr>
              <w:overflowPunct w:val="0"/>
              <w:snapToGrid/>
              <w:spacing w:before="60" w:after="60"/>
              <w:ind w:left="993" w:hanging="284"/>
              <w:jc w:val="left"/>
              <w:textAlignment w:val="baseline"/>
              <w:rPr>
                <w:rFonts w:hint="eastAsia" w:ascii="Times" w:hAnsi="Times" w:cs="Times"/>
                <w:lang w:val="en-US" w:eastAsia="zh-CN"/>
              </w:rPr>
            </w:pPr>
            <w:r>
              <w:rPr>
                <w:rFonts w:ascii="Times" w:hAnsi="Times" w:eastAsia="Batang" w:cs="Times"/>
                <w:iCs/>
                <w:sz w:val="20"/>
                <w:szCs w:val="20"/>
                <w:lang w:val="en-GB" w:eastAsia="ko-KR"/>
              </w:rPr>
              <w:t>Note, RAN1 continues the work on dynamic resource pool sharing based on existing agreements and WID with high priority for Type A devices and operating combination A</w:t>
            </w:r>
          </w:p>
          <w:p>
            <w:pPr>
              <w:widowControl w:val="0"/>
              <w:numPr>
                <w:ilvl w:val="0"/>
                <w:numId w:val="0"/>
              </w:numPr>
              <w:spacing w:before="60" w:after="60"/>
              <w:jc w:val="center"/>
              <w:rPr>
                <w:rFonts w:hint="default" w:ascii="Times" w:hAnsi="Times" w:cs="Times"/>
                <w:lang w:val="en-US" w:eastAsia="zh-CN"/>
              </w:rPr>
            </w:pPr>
            <w:r>
              <w:rPr>
                <w:rFonts w:hint="eastAsia" w:ascii="Times" w:hAnsi="Times" w:cs="Times"/>
                <w:lang w:val="en-US" w:eastAsia="zh-CN"/>
              </w:rPr>
              <w:t>......</w:t>
            </w:r>
          </w:p>
        </w:tc>
      </w:tr>
    </w:tbl>
    <w:p>
      <w:pPr>
        <w:widowControl w:val="0"/>
        <w:kinsoku w:val="0"/>
        <w:overflowPunct w:val="0"/>
        <w:adjustRightInd/>
        <w:snapToGrid/>
        <w:rPr>
          <w:lang w:val="en" w:eastAsia="zh-CN"/>
        </w:rPr>
      </w:pPr>
    </w:p>
    <w:p>
      <w:pPr>
        <w:widowControl w:val="0"/>
        <w:kinsoku w:val="0"/>
        <w:overflowPunct w:val="0"/>
        <w:adjustRightInd/>
        <w:snapToGrid/>
        <w:rPr>
          <w:rFonts w:hint="eastAsia"/>
          <w:lang w:val="en-US" w:eastAsia="zh-CN"/>
        </w:rPr>
      </w:pPr>
      <w:r>
        <w:rPr>
          <w:rFonts w:hint="eastAsia"/>
          <w:lang w:val="en-US" w:eastAsia="zh-CN"/>
        </w:rPr>
        <w:t>In RAN1#110</w:t>
      </w:r>
      <w:r>
        <w:rPr>
          <w:lang w:eastAsia="zh-CN"/>
        </w:rPr>
        <w:t xml:space="preserve"> meeting,</w:t>
      </w:r>
      <w:r>
        <w:rPr>
          <w:rFonts w:hint="eastAsia"/>
          <w:lang w:val="en-US" w:eastAsia="zh-CN"/>
        </w:rPr>
        <w:t xml:space="preserve"> the following agreements were made: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33" w:type="dxa"/>
            <w:noWrap w:val="0"/>
            <w:vAlign w:val="top"/>
          </w:tcPr>
          <w:p>
            <w:pPr>
              <w:widowControl w:val="0"/>
              <w:overflowPunct/>
              <w:autoSpaceDE/>
              <w:autoSpaceDN/>
              <w:adjustRightInd/>
              <w:spacing w:before="120" w:after="0" w:line="259" w:lineRule="auto"/>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highlight w:val="green"/>
                <w:lang w:val="en-GB" w:eastAsia="en-US" w:bidi="ar-SA"/>
              </w:rPr>
              <w:t>Agreement</w:t>
            </w:r>
          </w:p>
          <w:p>
            <w:pPr>
              <w:widowControl w:val="0"/>
              <w:overflowPunct/>
              <w:autoSpaceDE/>
              <w:autoSpaceDN/>
              <w:adjustRightInd/>
              <w:spacing w:after="0" w:line="259" w:lineRule="auto"/>
              <w:ind w:left="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For co-channel coexistence in Rel-18, dynamic resource pool sharing is studied, with the following constraints:</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NR SL resource pool is configured with 15 kHz SCS.</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FFS support of NR SL resource pool configured with higher SCS, including other solutions to overcome the AGC issue caused by the differing SCSs between the NR SL and LTE SL resource pools</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For NR PSFCH (if configured), at least the following alternatives are studied:</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Alt 1: Avoid PSFCH transmission in time slots that overlap with subframes used for LTE SL transmissions.</w:t>
            </w:r>
          </w:p>
          <w:p>
            <w:pPr>
              <w:widowControl w:val="0"/>
              <w:numPr>
                <w:ilvl w:val="3"/>
                <w:numId w:val="11"/>
              </w:numPr>
              <w:overflowPunct/>
              <w:autoSpaceDE/>
              <w:autoSpaceDN/>
              <w:adjustRightInd/>
              <w:spacing w:after="0" w:line="259" w:lineRule="auto"/>
              <w:ind w:left="144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FFS: Avoiding PSFCH transmissions can be performed by the UE transmitting PSFCH and/or the UE transmitting PSSCH.</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Alt 2: NR SL UEs use a periodically repeating set of PSFCH slots.</w:t>
            </w:r>
          </w:p>
          <w:p>
            <w:pPr>
              <w:widowControl w:val="0"/>
              <w:numPr>
                <w:ilvl w:val="3"/>
                <w:numId w:val="11"/>
              </w:numPr>
              <w:overflowPunct/>
              <w:autoSpaceDE/>
              <w:autoSpaceDN/>
              <w:adjustRightInd/>
              <w:spacing w:after="0" w:line="259" w:lineRule="auto"/>
              <w:ind w:left="144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FFS: periodicities of the set.</w:t>
            </w:r>
          </w:p>
          <w:p>
            <w:pPr>
              <w:widowControl w:val="0"/>
              <w:numPr>
                <w:ilvl w:val="0"/>
                <w:numId w:val="0"/>
              </w:numPr>
              <w:overflowPunct/>
              <w:autoSpaceDE w:val="0"/>
              <w:autoSpaceDN w:val="0"/>
              <w:adjustRightInd w:val="0"/>
              <w:snapToGrid w:val="0"/>
              <w:spacing w:after="0"/>
              <w:ind w:left="363" w:leftChars="0"/>
              <w:jc w:val="both"/>
              <w:textAlignment w:val="auto"/>
              <w:rPr>
                <w:vertAlign w:val="baseline"/>
                <w:lang w:val="en" w:eastAsia="zh-CN"/>
              </w:rPr>
            </w:pPr>
          </w:p>
        </w:tc>
      </w:tr>
    </w:tbl>
    <w:p>
      <w:pPr>
        <w:widowControl w:val="0"/>
        <w:kinsoku w:val="0"/>
        <w:overflowPunct w:val="0"/>
        <w:adjustRightInd/>
        <w:snapToGrid/>
        <w:rPr>
          <w:lang w:val="en" w:eastAsia="zh-CN"/>
        </w:rPr>
      </w:pPr>
    </w:p>
    <w:p>
      <w:pPr>
        <w:widowControl w:val="0"/>
        <w:kinsoku w:val="0"/>
        <w:overflowPunct w:val="0"/>
        <w:adjustRightInd/>
        <w:snapToGrid/>
        <w:rPr>
          <w:rFonts w:hint="eastAsia"/>
          <w:lang w:val="en-US" w:eastAsia="zh-CN"/>
        </w:rPr>
      </w:pPr>
      <w:r>
        <w:rPr>
          <w:rFonts w:hint="eastAsia"/>
          <w:lang w:val="en-US" w:eastAsia="zh-CN"/>
        </w:rPr>
        <w:t>In RAN1#110bis-e</w:t>
      </w:r>
      <w:r>
        <w:rPr>
          <w:lang w:eastAsia="zh-CN"/>
        </w:rPr>
        <w:t xml:space="preserve"> meeting,</w:t>
      </w:r>
      <w:r>
        <w:rPr>
          <w:rFonts w:hint="eastAsia"/>
          <w:lang w:val="en-US" w:eastAsia="zh-CN"/>
        </w:rPr>
        <w:t xml:space="preserve"> the following agreements were made: [3]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overflowPunct/>
              <w:autoSpaceDE/>
              <w:autoSpaceDN/>
              <w:adjustRightInd/>
              <w:spacing w:before="120" w:after="0" w:line="259" w:lineRule="auto"/>
              <w:jc w:val="both"/>
              <w:textAlignment w:val="auto"/>
              <w:rPr>
                <w:rFonts w:ascii="Times New Roman" w:hAnsi="Times New Roman" w:eastAsia="MS Mincho" w:cs="Times New Roman"/>
                <w:b/>
                <w:sz w:val="22"/>
                <w:szCs w:val="22"/>
                <w:lang w:val="en-US" w:eastAsia="en-US" w:bidi="ar-SA"/>
              </w:rPr>
            </w:pPr>
            <w:r>
              <w:rPr>
                <w:rFonts w:ascii="Times New Roman" w:hAnsi="Times New Roman" w:eastAsia="MS Mincho" w:cs="Times New Roman"/>
                <w:b/>
                <w:sz w:val="22"/>
                <w:szCs w:val="22"/>
                <w:highlight w:val="green"/>
                <w:lang w:val="en-US" w:eastAsia="en-US" w:bidi="ar-SA"/>
              </w:rPr>
              <w:t>Agreement</w:t>
            </w:r>
          </w:p>
          <w:p>
            <w:pPr>
              <w:widowControl w:val="0"/>
              <w:overflowPunct/>
              <w:autoSpaceDE/>
              <w:autoSpaceDN/>
              <w:adjustRightInd/>
              <w:spacing w:after="0" w:line="259" w:lineRule="auto"/>
              <w:ind w:left="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For dynamic resource pool sharing, the candidate information shared by the LTE SL module to the NR SL module may include one or more of the following parameters, to be down-selected:</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Time and frequency locations of reserved resources by other LTE UEs, determined based on decoded SCIs</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SL RSRP measurement results</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Resource reservation periods based on decoded SCI and for own LTE SL transmissions</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Priority based on decoded SCI and for own LTE SL transmissions</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Time and frequency location of resources used for own LTE SL transmissions</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Candidate resource set S</w:t>
            </w:r>
            <w:r>
              <w:rPr>
                <w:rFonts w:ascii="Times New Roman" w:hAnsi="Times New Roman" w:eastAsia="MS Mincho" w:cs="Times New Roman"/>
                <w:sz w:val="22"/>
                <w:szCs w:val="22"/>
                <w:vertAlign w:val="subscript"/>
                <w:lang w:val="en-US" w:eastAsia="en-US" w:bidi="ar-SA"/>
              </w:rPr>
              <w:t>A</w:t>
            </w:r>
            <w:r>
              <w:rPr>
                <w:rFonts w:ascii="Times New Roman" w:hAnsi="Times New Roman" w:eastAsia="MS Mincho" w:cs="Times New Roman"/>
                <w:sz w:val="22"/>
                <w:szCs w:val="22"/>
                <w:lang w:val="en-US" w:eastAsia="en-US" w:bidi="ar-SA"/>
              </w:rPr>
              <w:t xml:space="preserve"> or S</w:t>
            </w:r>
            <w:r>
              <w:rPr>
                <w:rFonts w:ascii="Times New Roman" w:hAnsi="Times New Roman" w:eastAsia="MS Mincho" w:cs="Times New Roman"/>
                <w:sz w:val="22"/>
                <w:szCs w:val="22"/>
                <w:vertAlign w:val="subscript"/>
                <w:lang w:val="en-US" w:eastAsia="en-US" w:bidi="ar-SA"/>
              </w:rPr>
              <w:t>B</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SL RSSI measurements</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hint="eastAsia" w:ascii="Times New Roman" w:hAnsi="Times New Roman" w:eastAsia="MS Mincho" w:cs="Times New Roman"/>
                <w:sz w:val="22"/>
                <w:szCs w:val="22"/>
                <w:lang w:val="en-US" w:eastAsia="en-US" w:bidi="ar-SA"/>
              </w:rPr>
              <w:t>LTE logical subframe</w:t>
            </w:r>
            <w:r>
              <w:rPr>
                <w:rFonts w:ascii="Times New Roman" w:hAnsi="Times New Roman" w:eastAsia="MS Mincho" w:cs="Times New Roman"/>
                <w:sz w:val="22"/>
                <w:szCs w:val="22"/>
                <w:lang w:val="en-US" w:eastAsia="en-US" w:bidi="ar-SA"/>
              </w:rPr>
              <w:t xml:space="preserve"> related information</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Resources corresponding to half-duplex subframes which are not monitored by the LTE SL UE</w:t>
            </w:r>
          </w:p>
          <w:p>
            <w:pPr>
              <w:widowControl w:val="0"/>
              <w:rPr>
                <w:rFonts w:ascii="Times New Roman" w:hAnsi="Times New Roman" w:eastAsia="宋体" w:cs="Times New Roman"/>
                <w:iCs/>
                <w:sz w:val="22"/>
                <w:szCs w:val="22"/>
              </w:rPr>
            </w:pPr>
          </w:p>
          <w:p>
            <w:pPr>
              <w:widowControl w:val="0"/>
              <w:overflowPunct/>
              <w:autoSpaceDE/>
              <w:autoSpaceDN/>
              <w:adjustRightInd/>
              <w:spacing w:before="120" w:after="0" w:line="259" w:lineRule="auto"/>
              <w:jc w:val="both"/>
              <w:textAlignment w:val="auto"/>
              <w:rPr>
                <w:rFonts w:ascii="Times New Roman" w:hAnsi="Times New Roman" w:eastAsia="MS Mincho" w:cs="Times New Roman"/>
                <w:b/>
                <w:sz w:val="22"/>
                <w:szCs w:val="22"/>
                <w:lang w:val="en-US" w:eastAsia="en-US" w:bidi="ar-SA"/>
              </w:rPr>
            </w:pPr>
            <w:r>
              <w:rPr>
                <w:rFonts w:ascii="Times New Roman" w:hAnsi="Times New Roman" w:eastAsia="MS Mincho" w:cs="Times New Roman"/>
                <w:b/>
                <w:sz w:val="22"/>
                <w:szCs w:val="22"/>
                <w:highlight w:val="green"/>
                <w:lang w:val="en-US" w:eastAsia="en-US" w:bidi="ar-SA"/>
              </w:rPr>
              <w:t>Agreement</w:t>
            </w:r>
          </w:p>
          <w:p>
            <w:pPr>
              <w:widowControl w:val="0"/>
              <w:overflowPunct/>
              <w:autoSpaceDE/>
              <w:autoSpaceDN/>
              <w:adjustRightInd/>
              <w:spacing w:after="0" w:line="259" w:lineRule="auto"/>
              <w:ind w:left="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For dynamic resource pool sharing, the NR SL module uses the information shared by the LTE SL module to the NR SL module to determine the set of resources for its own transmission.</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FFS: which layer carries out the resource determination: PHY layer or MAC layer.</w:t>
            </w:r>
          </w:p>
          <w:p>
            <w:pPr>
              <w:pStyle w:val="44"/>
              <w:widowControl w:val="0"/>
              <w:spacing w:after="0"/>
            </w:pPr>
          </w:p>
          <w:p>
            <w:pPr>
              <w:widowControl w:val="0"/>
              <w:spacing w:after="0"/>
              <w:jc w:val="both"/>
              <w:rPr>
                <w:rFonts w:ascii="Times New Roman" w:hAnsi="Times New Roman" w:eastAsia="宋体" w:cs="Times New Roman"/>
                <w:sz w:val="22"/>
                <w:szCs w:val="22"/>
              </w:rPr>
            </w:pPr>
            <w:r>
              <w:rPr>
                <w:rFonts w:ascii="Times New Roman" w:hAnsi="Times New Roman" w:eastAsia="宋体" w:cs="Times New Roman"/>
                <w:b/>
                <w:bCs/>
                <w:iCs/>
                <w:sz w:val="22"/>
                <w:szCs w:val="22"/>
                <w:highlight w:val="green"/>
                <w:u w:val="single"/>
              </w:rPr>
              <w:t>Agreement</w:t>
            </w:r>
          </w:p>
          <w:p>
            <w:pPr>
              <w:widowControl w:val="0"/>
              <w:numPr>
                <w:ilvl w:val="0"/>
                <w:numId w:val="11"/>
              </w:numPr>
              <w:overflowPunct/>
              <w:autoSpaceDE/>
              <w:autoSpaceDN/>
              <w:adjustRightInd/>
              <w:spacing w:after="0" w:line="259" w:lineRule="auto"/>
              <w:ind w:left="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For dynamic resource pool sharing, where the NR SL module uses the candidate information shared by the LTE SL module to the NR SL module, continue studying the following alternatives:</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Alt 1: The LTE SL module provides the NR SL module with the candidate information (excluding at least the candidate resource sets S</w:t>
            </w:r>
            <w:r>
              <w:rPr>
                <w:rFonts w:ascii="Times New Roman" w:hAnsi="Times New Roman" w:eastAsia="MS Mincho" w:cs="Times New Roman"/>
                <w:sz w:val="22"/>
                <w:szCs w:val="22"/>
                <w:vertAlign w:val="subscript"/>
                <w:lang w:val="en-US" w:eastAsia="en-US" w:bidi="ar-SA"/>
              </w:rPr>
              <w:t>A</w:t>
            </w:r>
            <w:r>
              <w:rPr>
                <w:rFonts w:ascii="Times New Roman" w:hAnsi="Times New Roman" w:eastAsia="MS Mincho" w:cs="Times New Roman"/>
                <w:sz w:val="22"/>
                <w:szCs w:val="22"/>
                <w:lang w:val="en-US" w:eastAsia="en-US" w:bidi="ar-SA"/>
              </w:rPr>
              <w:t xml:space="preserve"> or S</w:t>
            </w:r>
            <w:r>
              <w:rPr>
                <w:rFonts w:ascii="Times New Roman" w:hAnsi="Times New Roman" w:eastAsia="MS Mincho" w:cs="Times New Roman"/>
                <w:sz w:val="22"/>
                <w:szCs w:val="22"/>
                <w:vertAlign w:val="subscript"/>
                <w:lang w:val="en-US" w:eastAsia="en-US" w:bidi="ar-SA"/>
              </w:rPr>
              <w:t>B</w:t>
            </w:r>
            <w:r>
              <w:rPr>
                <w:rFonts w:ascii="Times New Roman" w:hAnsi="Times New Roman" w:eastAsia="MS Mincho" w:cs="Times New Roman"/>
                <w:sz w:val="22"/>
                <w:szCs w:val="22"/>
                <w:lang w:val="en-US" w:eastAsia="en-US" w:bidi="ar-SA"/>
              </w:rPr>
              <w:t>)</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The NR SL module identifies a set of resources based on information shared by the LTE SL module.</w:t>
            </w:r>
          </w:p>
          <w:p>
            <w:pPr>
              <w:widowControl w:val="0"/>
              <w:numPr>
                <w:ilvl w:val="2"/>
                <w:numId w:val="12"/>
              </w:numPr>
              <w:overflowPunct/>
              <w:autoSpaceDE w:val="0"/>
              <w:autoSpaceDN w:val="0"/>
              <w:adjustRightInd/>
              <w:spacing w:after="0" w:line="259" w:lineRule="auto"/>
              <w:ind w:left="216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FFS: how to identify the set of resources</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The NR SL module excludes these identified resources from its own candidate resource set when performing the resource (re)selection procedure.</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The exclusion process is performed in the PHY layer.</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Note: implementation of Alt 1 should not have specification impact to LTE</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Alt 2: The LTE SL module provides the NR SL module with the candidate resource sets S</w:t>
            </w:r>
            <w:r>
              <w:rPr>
                <w:rFonts w:ascii="Times New Roman" w:hAnsi="Times New Roman" w:eastAsia="MS Mincho" w:cs="Times New Roman"/>
                <w:sz w:val="22"/>
                <w:szCs w:val="22"/>
                <w:vertAlign w:val="subscript"/>
                <w:lang w:val="en-US" w:eastAsia="en-US" w:bidi="ar-SA"/>
              </w:rPr>
              <w:t>A</w:t>
            </w:r>
            <w:r>
              <w:rPr>
                <w:rFonts w:ascii="Times New Roman" w:hAnsi="Times New Roman" w:eastAsia="MS Mincho" w:cs="Times New Roman"/>
                <w:sz w:val="22"/>
                <w:szCs w:val="22"/>
                <w:lang w:val="en-US" w:eastAsia="en-US" w:bidi="ar-SA"/>
              </w:rPr>
              <w:t xml:space="preserve"> or S</w:t>
            </w:r>
            <w:r>
              <w:rPr>
                <w:rFonts w:ascii="Times New Roman" w:hAnsi="Times New Roman" w:eastAsia="MS Mincho" w:cs="Times New Roman"/>
                <w:sz w:val="22"/>
                <w:szCs w:val="22"/>
                <w:vertAlign w:val="subscript"/>
                <w:lang w:val="en-US" w:eastAsia="en-US" w:bidi="ar-SA"/>
              </w:rPr>
              <w:t xml:space="preserve">B </w:t>
            </w:r>
            <w:r>
              <w:rPr>
                <w:rFonts w:ascii="Times New Roman" w:hAnsi="Times New Roman" w:eastAsia="MS Mincho" w:cs="Times New Roman"/>
                <w:sz w:val="22"/>
                <w:szCs w:val="22"/>
                <w:lang w:val="en-US" w:eastAsia="en-US" w:bidi="ar-SA"/>
              </w:rPr>
              <w:t>shared by the LTE SL module</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 xml:space="preserve">The </w:t>
            </w:r>
            <w:r>
              <w:rPr>
                <w:rFonts w:hint="eastAsia" w:ascii="Times New Roman" w:hAnsi="Times New Roman" w:eastAsia="MS Mincho" w:cs="Times New Roman"/>
                <w:sz w:val="22"/>
                <w:szCs w:val="22"/>
                <w:lang w:val="en-US" w:eastAsia="en-US" w:bidi="ar-SA"/>
              </w:rPr>
              <w:t>LTE</w:t>
            </w:r>
            <w:r>
              <w:rPr>
                <w:rFonts w:ascii="Times New Roman" w:hAnsi="Times New Roman" w:eastAsia="MS Mincho" w:cs="Times New Roman"/>
                <w:sz w:val="22"/>
                <w:szCs w:val="22"/>
                <w:lang w:val="en-US" w:eastAsia="en-US" w:bidi="ar-SA"/>
              </w:rPr>
              <w:t xml:space="preserve"> PHY SL module is provided information from the higher layer to generate a candidate resource set S</w:t>
            </w:r>
            <w:r>
              <w:rPr>
                <w:rFonts w:ascii="Times New Roman" w:hAnsi="Times New Roman" w:eastAsia="MS Mincho" w:cs="Times New Roman"/>
                <w:sz w:val="22"/>
                <w:szCs w:val="22"/>
                <w:vertAlign w:val="subscript"/>
                <w:lang w:val="en-US" w:eastAsia="en-US" w:bidi="ar-SA"/>
              </w:rPr>
              <w:t>A</w:t>
            </w:r>
            <w:r>
              <w:rPr>
                <w:rFonts w:ascii="Times New Roman" w:hAnsi="Times New Roman" w:eastAsia="MS Mincho" w:cs="Times New Roman"/>
                <w:sz w:val="22"/>
                <w:szCs w:val="22"/>
                <w:lang w:val="en-US" w:eastAsia="en-US" w:bidi="ar-SA"/>
              </w:rPr>
              <w:t xml:space="preserve"> or S</w:t>
            </w:r>
            <w:r>
              <w:rPr>
                <w:rFonts w:ascii="Times New Roman" w:hAnsi="Times New Roman" w:eastAsia="MS Mincho" w:cs="Times New Roman"/>
                <w:sz w:val="22"/>
                <w:szCs w:val="22"/>
                <w:vertAlign w:val="subscript"/>
                <w:lang w:val="en-US" w:eastAsia="en-US" w:bidi="ar-SA"/>
              </w:rPr>
              <w:t>B</w:t>
            </w:r>
            <w:r>
              <w:rPr>
                <w:rFonts w:ascii="Times New Roman" w:hAnsi="Times New Roman" w:eastAsia="MS Mincho" w:cs="Times New Roman"/>
                <w:sz w:val="22"/>
                <w:szCs w:val="22"/>
                <w:lang w:val="en-US" w:eastAsia="en-US" w:bidi="ar-SA"/>
              </w:rPr>
              <w:t>. The resource set S</w:t>
            </w:r>
            <w:r>
              <w:rPr>
                <w:rFonts w:ascii="Times New Roman" w:hAnsi="Times New Roman" w:eastAsia="MS Mincho" w:cs="Times New Roman"/>
                <w:sz w:val="22"/>
                <w:szCs w:val="22"/>
                <w:vertAlign w:val="subscript"/>
                <w:lang w:val="en-US" w:eastAsia="en-US" w:bidi="ar-SA"/>
              </w:rPr>
              <w:t>A</w:t>
            </w:r>
            <w:r>
              <w:rPr>
                <w:rFonts w:ascii="Times New Roman" w:hAnsi="Times New Roman" w:eastAsia="MS Mincho" w:cs="Times New Roman"/>
                <w:sz w:val="22"/>
                <w:szCs w:val="22"/>
                <w:lang w:val="en-US" w:eastAsia="en-US" w:bidi="ar-SA"/>
              </w:rPr>
              <w:t xml:space="preserve"> or S</w:t>
            </w:r>
            <w:r>
              <w:rPr>
                <w:rFonts w:ascii="Times New Roman" w:hAnsi="Times New Roman" w:eastAsia="MS Mincho" w:cs="Times New Roman"/>
                <w:sz w:val="22"/>
                <w:szCs w:val="22"/>
                <w:vertAlign w:val="subscript"/>
                <w:lang w:val="en-US" w:eastAsia="en-US" w:bidi="ar-SA"/>
              </w:rPr>
              <w:t>B</w:t>
            </w:r>
            <w:r>
              <w:rPr>
                <w:rFonts w:ascii="Times New Roman" w:hAnsi="Times New Roman" w:eastAsia="MS Mincho" w:cs="Times New Roman"/>
                <w:sz w:val="22"/>
                <w:szCs w:val="22"/>
                <w:lang w:val="en-US" w:eastAsia="en-US" w:bidi="ar-SA"/>
              </w:rPr>
              <w:t xml:space="preserve"> is then shared to NR SL module.</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The NR SL module performs an intersection operation with the candidate resource set received from the LTE SL module and the candidate resource set generated by the NR SL module.</w:t>
            </w:r>
          </w:p>
          <w:p>
            <w:pPr>
              <w:widowControl w:val="0"/>
              <w:numPr>
                <w:ilvl w:val="2"/>
                <w:numId w:val="12"/>
              </w:numPr>
              <w:overflowPunct/>
              <w:autoSpaceDE w:val="0"/>
              <w:autoSpaceDN w:val="0"/>
              <w:adjustRightInd/>
              <w:spacing w:after="0" w:line="259" w:lineRule="auto"/>
              <w:ind w:left="216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FFS: how to handle the case where this results in an insufficient set of resources</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The intersection operation is performed in the MAC layer.</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FFS: How to handle NR V2X parameter settings that are not supported by LTE V2X, e.g., periodicities, sub-channel sizes, etc</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Note: implementation of Alt 2 should not have specification impact to LTE</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In the next meeting strive to decide between the two alternatives</w:t>
            </w:r>
          </w:p>
          <w:p>
            <w:pPr>
              <w:pStyle w:val="44"/>
              <w:widowControl w:val="0"/>
              <w:spacing w:after="0"/>
            </w:pPr>
          </w:p>
          <w:p>
            <w:pPr>
              <w:widowControl w:val="0"/>
              <w:spacing w:after="0"/>
              <w:jc w:val="both"/>
              <w:rPr>
                <w:rFonts w:ascii="Times New Roman" w:hAnsi="Times New Roman" w:eastAsia="宋体" w:cs="Times New Roman"/>
                <w:sz w:val="22"/>
                <w:szCs w:val="22"/>
              </w:rPr>
            </w:pPr>
            <w:r>
              <w:rPr>
                <w:rFonts w:ascii="Times New Roman" w:hAnsi="Times New Roman" w:eastAsia="宋体" w:cs="Times New Roman"/>
                <w:b/>
                <w:bCs/>
                <w:iCs/>
                <w:sz w:val="22"/>
                <w:szCs w:val="22"/>
                <w:highlight w:val="green"/>
                <w:u w:val="single"/>
              </w:rPr>
              <w:t>Agreement</w:t>
            </w:r>
          </w:p>
          <w:p>
            <w:pPr>
              <w:widowControl w:val="0"/>
              <w:overflowPunct/>
              <w:autoSpaceDE/>
              <w:autoSpaceDN/>
              <w:adjustRightInd/>
              <w:spacing w:after="0" w:line="259" w:lineRule="auto"/>
              <w:ind w:left="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 xml:space="preserve">For dynamic resource pool sharing, the NR SL module is expected to use the information shared by the LTE SL module to the NR SL module which is known by NR SL module at the latest T ms prior to slot n </w:t>
            </w:r>
            <w:r>
              <w:rPr>
                <w:rFonts w:ascii="Times New Roman" w:hAnsi="Times New Roman" w:eastAsia="宋体" w:cs="Times New Roman"/>
                <w:sz w:val="22"/>
                <w:szCs w:val="22"/>
                <w:lang w:val="en-US" w:eastAsia="zh-CN" w:bidi="ar-SA"/>
              </w:rPr>
              <w:t>(as defined in clause 8.1.4 of TS 38.214)</w:t>
            </w:r>
            <w:r>
              <w:rPr>
                <w:rFonts w:ascii="Times New Roman" w:hAnsi="Times New Roman" w:eastAsia="MS Mincho" w:cs="Times New Roman"/>
                <w:sz w:val="22"/>
                <w:szCs w:val="22"/>
                <w:lang w:val="en-US" w:eastAsia="en-US" w:bidi="ar-SA"/>
              </w:rPr>
              <w:t>, to determine a set of resources for its own (re)transmission.</w:t>
            </w:r>
          </w:p>
          <w:p>
            <w:pPr>
              <w:widowControl w:val="0"/>
              <w:numPr>
                <w:ilvl w:val="0"/>
                <w:numId w:val="12"/>
              </w:numPr>
              <w:overflowPunct/>
              <w:autoSpaceDE w:val="0"/>
              <w:autoSpaceDN w:val="0"/>
              <w:adjustRightInd/>
              <w:spacing w:after="0" w:line="240"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 xml:space="preserve">T is defined using </w:t>
            </w:r>
          </w:p>
          <w:p>
            <w:pPr>
              <w:widowControl w:val="0"/>
              <w:numPr>
                <w:ilvl w:val="1"/>
                <w:numId w:val="11"/>
              </w:numPr>
              <w:overflowPunct/>
              <w:autoSpaceDE/>
              <w:autoSpaceDN/>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T≤T</w:t>
            </w:r>
            <w:r>
              <w:rPr>
                <w:rFonts w:ascii="Times New Roman" w:hAnsi="Times New Roman" w:eastAsia="MS Mincho" w:cs="Times New Roman"/>
                <w:sz w:val="22"/>
                <w:szCs w:val="22"/>
                <w:vertAlign w:val="subscript"/>
                <w:lang w:val="en-US" w:eastAsia="en-US" w:bidi="ar-SA"/>
              </w:rPr>
              <w:t>max</w:t>
            </w:r>
            <w:r>
              <w:rPr>
                <w:rFonts w:ascii="Times New Roman" w:hAnsi="Times New Roman" w:eastAsia="MS Mincho" w:cs="Times New Roman"/>
                <w:sz w:val="22"/>
                <w:szCs w:val="22"/>
                <w:lang w:val="en-US" w:eastAsia="en-US" w:bidi="ar-SA"/>
              </w:rPr>
              <w:t xml:space="preserve"> ms, and is based on UE implementation, according to the Rel-16 NR SL timeline for in-device coexistence.</w:t>
            </w:r>
          </w:p>
          <w:p>
            <w:pPr>
              <w:widowControl w:val="0"/>
              <w:numPr>
                <w:ilvl w:val="2"/>
                <w:numId w:val="11"/>
              </w:numPr>
              <w:overflowPunct/>
              <w:autoSpaceDE/>
              <w:autoSpaceDN/>
              <w:adjustRightInd/>
              <w:spacing w:after="0" w:line="259" w:lineRule="auto"/>
              <w:ind w:left="216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FFS: Value of T</w:t>
            </w:r>
            <w:r>
              <w:rPr>
                <w:rFonts w:ascii="Times New Roman" w:hAnsi="Times New Roman" w:eastAsia="MS Mincho" w:cs="Times New Roman"/>
                <w:sz w:val="22"/>
                <w:szCs w:val="22"/>
                <w:vertAlign w:val="subscript"/>
                <w:lang w:val="en-US" w:eastAsia="en-US" w:bidi="ar-SA"/>
              </w:rPr>
              <w:t>max</w:t>
            </w:r>
          </w:p>
          <w:p>
            <w:pPr>
              <w:widowControl w:val="0"/>
              <w:numPr>
                <w:ilvl w:val="0"/>
                <w:numId w:val="12"/>
              </w:numPr>
              <w:overflowPunct/>
              <w:autoSpaceDE w:val="0"/>
              <w:autoSpaceDN w:val="0"/>
              <w:adjustRightInd/>
              <w:spacing w:after="0" w:line="240" w:lineRule="auto"/>
              <w:ind w:left="720" w:hanging="360"/>
              <w:jc w:val="both"/>
              <w:textAlignment w:val="auto"/>
              <w:rPr>
                <w:vertAlign w:val="baseline"/>
                <w:lang w:val="en" w:eastAsia="zh-CN"/>
              </w:rPr>
            </w:pPr>
            <w:r>
              <w:rPr>
                <w:rFonts w:hint="eastAsia" w:ascii="Times New Roman" w:hAnsi="Times New Roman" w:eastAsia="MS Mincho" w:cs="Times New Roman"/>
                <w:sz w:val="22"/>
                <w:szCs w:val="22"/>
                <w:lang w:val="en-US" w:eastAsia="en-US" w:bidi="ar-SA"/>
              </w:rPr>
              <w:t>FFS: any discussion on the earliest information, if needed</w:t>
            </w:r>
          </w:p>
        </w:tc>
      </w:tr>
    </w:tbl>
    <w:p>
      <w:pPr>
        <w:widowControl w:val="0"/>
        <w:kinsoku w:val="0"/>
        <w:overflowPunct w:val="0"/>
        <w:adjustRightInd/>
        <w:snapToGrid/>
        <w:rPr>
          <w:lang w:val="en" w:eastAsia="zh-CN"/>
        </w:rPr>
      </w:pPr>
    </w:p>
    <w:p>
      <w:pPr>
        <w:widowControl w:val="0"/>
        <w:kinsoku w:val="0"/>
        <w:overflowPunct w:val="0"/>
        <w:adjustRightInd/>
        <w:snapToGrid/>
        <w:rPr>
          <w:rFonts w:hint="eastAsia"/>
          <w:lang w:val="en-US" w:eastAsia="zh-CN"/>
        </w:rPr>
      </w:pPr>
      <w:r>
        <w:rPr>
          <w:rFonts w:hint="eastAsia"/>
          <w:lang w:val="en-US" w:eastAsia="zh-CN"/>
        </w:rPr>
        <w:t>In RAN1#111</w:t>
      </w:r>
      <w:r>
        <w:rPr>
          <w:lang w:eastAsia="zh-CN"/>
        </w:rPr>
        <w:t xml:space="preserve"> meeting,</w:t>
      </w:r>
      <w:r>
        <w:rPr>
          <w:rFonts w:hint="eastAsia"/>
          <w:lang w:val="en-US" w:eastAsia="zh-CN"/>
        </w:rPr>
        <w:t xml:space="preserve"> the following agreements were made: [</w:t>
      </w:r>
      <w:r>
        <w:rPr>
          <w:rFonts w:hint="eastAsia"/>
          <w:highlight w:val="none"/>
          <w:lang w:val="en-US" w:eastAsia="zh-CN"/>
        </w:rPr>
        <w:t>4</w:t>
      </w:r>
      <w:r>
        <w:rPr>
          <w:rFonts w:hint="eastAsia"/>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rPr>
                <w:lang w:val="en-US"/>
              </w:rPr>
            </w:pPr>
            <w:r>
              <w:rPr>
                <w:highlight w:val="green"/>
                <w:lang w:val="en-US"/>
              </w:rPr>
              <w:t>Agreement</w:t>
            </w:r>
          </w:p>
          <w:p>
            <w:pPr>
              <w:widowControl w:val="0"/>
              <w:spacing w:line="259" w:lineRule="auto"/>
              <w:jc w:val="both"/>
              <w:rPr>
                <w:rFonts w:ascii="Times New Roman" w:hAnsi="Times New Roman" w:eastAsia="MS Mincho"/>
                <w:lang w:eastAsia="zh-CN"/>
              </w:rPr>
            </w:pPr>
            <w:r>
              <w:rPr>
                <w:rFonts w:ascii="Times New Roman" w:hAnsi="Times New Roman" w:eastAsia="MS Mincho"/>
                <w:lang w:eastAsia="zh-CN"/>
              </w:rPr>
              <w:t>For dynamic resource pool sharing, the NR SL module uses the candidate information shared by the LTE SL module to the NR SL module, where</w:t>
            </w:r>
          </w:p>
          <w:p>
            <w:pPr>
              <w:widowControl w:val="0"/>
              <w:numPr>
                <w:ilvl w:val="0"/>
                <w:numId w:val="13"/>
              </w:numPr>
              <w:spacing w:line="259" w:lineRule="auto"/>
              <w:jc w:val="both"/>
              <w:rPr>
                <w:rFonts w:ascii="Times New Roman" w:hAnsi="Times New Roman" w:eastAsia="MS Mincho"/>
                <w:lang w:eastAsia="zh-CN"/>
              </w:rPr>
            </w:pPr>
            <w:r>
              <w:rPr>
                <w:rFonts w:ascii="Times New Roman" w:hAnsi="Times New Roman" w:eastAsia="MS Mincho"/>
                <w:lang w:eastAsia="zh-CN"/>
              </w:rPr>
              <w:t>The NR SL module excludes resources based on the shared information from its own candidate resource set when performing the resource (re)selection procedure in the PHY layer.</w:t>
            </w:r>
          </w:p>
          <w:p>
            <w:pPr>
              <w:widowControl w:val="0"/>
              <w:numPr>
                <w:ilvl w:val="1"/>
                <w:numId w:val="13"/>
              </w:numPr>
              <w:autoSpaceDE w:val="0"/>
              <w:autoSpaceDN w:val="0"/>
              <w:spacing w:line="259" w:lineRule="auto"/>
              <w:jc w:val="both"/>
              <w:rPr>
                <w:rFonts w:ascii="Times New Roman" w:hAnsi="Times New Roman" w:eastAsia="MS Mincho"/>
                <w:lang w:eastAsia="zh-CN"/>
              </w:rPr>
            </w:pPr>
            <w:r>
              <w:rPr>
                <w:rFonts w:ascii="Times New Roman" w:hAnsi="Times New Roman" w:eastAsia="MS Mincho"/>
                <w:lang w:eastAsia="zh-CN"/>
              </w:rPr>
              <w:t>FFS how to exclude resources at least based on the time and frequency locations of LTE SL transmissions that have been indicated in the shared candidate information.</w:t>
            </w:r>
          </w:p>
          <w:p>
            <w:pPr>
              <w:widowControl w:val="0"/>
              <w:numPr>
                <w:ilvl w:val="1"/>
                <w:numId w:val="13"/>
              </w:numPr>
              <w:autoSpaceDE w:val="0"/>
              <w:autoSpaceDN w:val="0"/>
              <w:spacing w:line="259" w:lineRule="auto"/>
              <w:jc w:val="both"/>
              <w:rPr>
                <w:rFonts w:ascii="Times New Roman" w:hAnsi="Times New Roman" w:eastAsia="MS Mincho"/>
                <w:lang w:eastAsia="zh-CN"/>
              </w:rPr>
            </w:pPr>
            <w:r>
              <w:rPr>
                <w:rFonts w:ascii="Times New Roman" w:hAnsi="Times New Roman" w:eastAsia="MS Mincho"/>
                <w:lang w:eastAsia="zh-CN"/>
              </w:rPr>
              <w:t>FFS how the exclusion is performed according to clause 8.1.4 of TS 38.214.</w:t>
            </w:r>
          </w:p>
          <w:p>
            <w:pPr>
              <w:widowControl w:val="0"/>
              <w:numPr>
                <w:ilvl w:val="1"/>
                <w:numId w:val="13"/>
              </w:numPr>
              <w:autoSpaceDE w:val="0"/>
              <w:autoSpaceDN w:val="0"/>
              <w:spacing w:line="259" w:lineRule="auto"/>
              <w:rPr>
                <w:vertAlign w:val="baseline"/>
                <w:lang w:val="en" w:eastAsia="zh-CN"/>
              </w:rPr>
            </w:pPr>
            <w:r>
              <w:rPr>
                <w:rFonts w:ascii="Times New Roman" w:hAnsi="Times New Roman" w:eastAsia="MS Mincho"/>
                <w:lang w:eastAsia="zh-CN"/>
              </w:rPr>
              <w:t>FFS: whether/how NR SL module excludes resources not belonging to the generated LTE SL’s candidate resource set S</w:t>
            </w:r>
            <w:r>
              <w:rPr>
                <w:rFonts w:ascii="Times New Roman" w:hAnsi="Times New Roman" w:eastAsia="MS Mincho"/>
                <w:vertAlign w:val="subscript"/>
                <w:lang w:eastAsia="zh-CN"/>
              </w:rPr>
              <w:t>B</w:t>
            </w:r>
            <w:r>
              <w:rPr>
                <w:rFonts w:ascii="Times New Roman" w:hAnsi="Times New Roman" w:eastAsia="MS Mincho"/>
                <w:lang w:eastAsia="zh-CN"/>
              </w:rPr>
              <w:t xml:space="preserve"> from its own candidate resource set.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r>
        <w:t xml:space="preserve">In this contribution, we focus on </w:t>
      </w:r>
      <w:r>
        <w:rPr>
          <w:rFonts w:hint="eastAsia"/>
          <w:lang w:val="en-US" w:eastAsia="zh-CN"/>
        </w:rPr>
        <w:t>the co-channel coexistence for LTE sidelink and NR sidelink</w:t>
      </w:r>
      <w:r>
        <w:rPr>
          <w:rFonts w:hint="eastAsia"/>
          <w:bCs/>
          <w:lang w:val="en-US" w:eastAsia="zh-CN"/>
        </w:rPr>
        <w:t>, including the solution of dynamic resource partitioning.</w:t>
      </w:r>
    </w:p>
    <w:p>
      <w:pPr>
        <w:widowControl w:val="0"/>
        <w:kinsoku w:val="0"/>
        <w:overflowPunct w:val="0"/>
        <w:adjustRightInd/>
        <w:snapToGrid/>
        <w:rPr>
          <w:rFonts w:hint="eastAsia"/>
          <w:bCs/>
          <w:lang w:val="en-US" w:eastAsia="zh-CN"/>
        </w:rPr>
      </w:pPr>
    </w:p>
    <w:p>
      <w:pPr>
        <w:pStyle w:val="2"/>
        <w:rPr>
          <w:rFonts w:hint="default"/>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Dynamic</w:t>
      </w:r>
      <w:r>
        <w:rPr>
          <w:rFonts w:hint="default"/>
          <w:lang w:val="en-US" w:eastAsia="zh-CN"/>
        </w:rPr>
        <w:t xml:space="preserve"> resource pool partitioning</w:t>
      </w:r>
      <w:r>
        <w:rPr>
          <w:rFonts w:hint="eastAsia"/>
          <w:lang w:val="en-US" w:eastAsia="zh-CN"/>
        </w:rPr>
        <w:t xml:space="preserve"> - SCS and PSFCH</w:t>
      </w:r>
    </w:p>
    <w:p>
      <w:pPr>
        <w:rPr>
          <w:rFonts w:hint="eastAsia"/>
          <w:lang w:val="en-US" w:eastAsia="zh-CN"/>
        </w:rPr>
      </w:pPr>
      <w:r>
        <w:rPr>
          <w:rFonts w:hint="eastAsia"/>
        </w:rPr>
        <w:t>To solve the problem of co-channel coexistence between LTE side</w:t>
      </w:r>
      <w:r>
        <w:rPr>
          <w:rFonts w:hint="eastAsia"/>
          <w:lang w:val="en-US" w:eastAsia="zh-CN"/>
        </w:rPr>
        <w:t>link</w:t>
      </w:r>
      <w:r>
        <w:rPr>
          <w:rFonts w:hint="eastAsia"/>
        </w:rPr>
        <w:t xml:space="preserve"> and NR sidel</w:t>
      </w:r>
      <w:r>
        <w:rPr>
          <w:rFonts w:hint="eastAsia"/>
          <w:lang w:val="en-US" w:eastAsia="zh-CN"/>
        </w:rPr>
        <w:t>ink</w:t>
      </w:r>
      <w:r>
        <w:rPr>
          <w:rFonts w:hint="eastAsia"/>
        </w:rPr>
        <w:t>, the</w:t>
      </w:r>
      <w:r>
        <w:rPr>
          <w:rFonts w:hint="eastAsia"/>
          <w:lang w:val="en-US" w:eastAsia="zh-CN"/>
        </w:rPr>
        <w:t xml:space="preserve"> </w:t>
      </w:r>
      <w:r>
        <w:rPr>
          <w:rFonts w:hint="eastAsia"/>
          <w:highlight w:val="none"/>
        </w:rPr>
        <w:t>considered</w:t>
      </w:r>
      <w:r>
        <w:rPr>
          <w:rFonts w:hint="eastAsia"/>
        </w:rPr>
        <w:t xml:space="preserve"> solutions are semi-static and dynamic co-channel coexistence.</w:t>
      </w:r>
      <w:r>
        <w:rPr>
          <w:rFonts w:hint="eastAsia"/>
          <w:lang w:val="en-US" w:eastAsia="zh-CN"/>
        </w:rPr>
        <w:t xml:space="preserve"> At RAN1#109e meeting, two types of semi-static co-channel coexistence were proposed and discussed, as well as dynamic co-channel coexistence.</w:t>
      </w:r>
    </w:p>
    <w:p>
      <w:pPr>
        <w:rPr>
          <w:rFonts w:hint="default"/>
          <w:lang w:val="en-US" w:eastAsia="zh-CN"/>
        </w:rPr>
      </w:pPr>
      <w:r>
        <w:rPr>
          <w:rFonts w:hint="eastAsia"/>
          <w:lang w:val="en-US" w:eastAsia="zh-CN"/>
        </w:rPr>
        <w:t>The LTE sidelink resource pool has an SCS of 15 kHz, while the NR sidelink resource pool can have an SCS of 15/30 kHz. Therefore, in some scenarios, the SCS of  the NR sidelink resource pool is different from the SCS of the LTE sidelink resource pool, for example, the SCS of the NR sidelink resource pool is 30 kHz, while the SCS of the LTE sidelink resource pool is 15 kHz. In this case, for a dynamic solution in FDM manner, one LTE sidelink subframe will completely overlap with two NR sidelink slots on the same channel. If the transmitting power of NR sidelink transmissions is different in two consecutive sidelink slots, then the received power  in the completely overlapping LTE subframe will change. Such a variation in received power can lead to inaccurate AGC estimation for the LTE sidelink receiving UE, which affects the reception of LTE sidelink transmissions by the LTE sidelink receiving UE. T</w:t>
      </w:r>
      <w:r>
        <w:rPr>
          <w:rFonts w:hint="default"/>
          <w:lang w:val="en-US" w:eastAsia="zh-CN"/>
        </w:rPr>
        <w:t>o overcome the AGC issues</w:t>
      </w:r>
      <w:r>
        <w:rPr>
          <w:rFonts w:hint="eastAsia"/>
          <w:lang w:val="en-US" w:eastAsia="zh-CN"/>
        </w:rPr>
        <w:t xml:space="preserve">, </w:t>
      </w:r>
      <w:bookmarkStart w:id="3" w:name="OLE_LINK2"/>
      <w:r>
        <w:rPr>
          <w:rFonts w:hint="eastAsia"/>
          <w:lang w:val="en-US" w:eastAsia="zh-CN"/>
        </w:rPr>
        <w:t>a straightforward solution</w:t>
      </w:r>
      <w:bookmarkEnd w:id="3"/>
      <w:r>
        <w:rPr>
          <w:rFonts w:hint="eastAsia"/>
          <w:lang w:val="en-US" w:eastAsia="zh-CN"/>
        </w:rPr>
        <w:t xml:space="preserve"> is that </w:t>
      </w:r>
      <w:r>
        <w:rPr>
          <w:rFonts w:hint="default"/>
          <w:lang w:val="en-US" w:eastAsia="zh-CN"/>
        </w:rPr>
        <w:t xml:space="preserve">the </w:t>
      </w:r>
      <w:r>
        <w:rPr>
          <w:rFonts w:hint="eastAsia"/>
          <w:lang w:val="en-US" w:eastAsia="zh-CN"/>
        </w:rPr>
        <w:t>sidelink BWP configured with sidelink resource pools</w:t>
      </w:r>
      <w:r>
        <w:rPr>
          <w:rFonts w:hint="default"/>
          <w:lang w:val="en-US" w:eastAsia="zh-CN"/>
        </w:rPr>
        <w:t xml:space="preserve"> have to be limited to </w:t>
      </w:r>
      <w:r>
        <w:rPr>
          <w:rFonts w:hint="eastAsia"/>
          <w:lang w:val="en-US" w:eastAsia="zh-CN"/>
        </w:rPr>
        <w:t>a</w:t>
      </w:r>
      <w:r>
        <w:rPr>
          <w:rFonts w:hint="default"/>
          <w:lang w:val="en-US" w:eastAsia="zh-CN"/>
        </w:rPr>
        <w:t xml:space="preserve"> SCS</w:t>
      </w:r>
      <w:r>
        <w:rPr>
          <w:rFonts w:hint="eastAsia"/>
          <w:lang w:val="en-US" w:eastAsia="zh-CN"/>
        </w:rPr>
        <w:t xml:space="preserve"> of </w:t>
      </w:r>
      <w:r>
        <w:rPr>
          <w:rFonts w:hint="default"/>
          <w:lang w:val="en-US" w:eastAsia="zh-CN"/>
        </w:rPr>
        <w:t>15kHz.</w:t>
      </w:r>
      <w:r>
        <w:rPr>
          <w:rFonts w:hint="eastAsia"/>
          <w:lang w:val="en-US" w:eastAsia="zh-CN"/>
        </w:rPr>
        <w:t xml:space="preserve"> </w:t>
      </w:r>
    </w:p>
    <w:p>
      <w:pPr>
        <w:jc w:val="center"/>
      </w:pPr>
      <w:r>
        <w:drawing>
          <wp:inline distT="0" distB="0" distL="114300" distR="114300">
            <wp:extent cx="2978150" cy="2216150"/>
            <wp:effectExtent l="0" t="0" r="635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2978150" cy="2216150"/>
                    </a:xfrm>
                    <a:prstGeom prst="rect">
                      <a:avLst/>
                    </a:prstGeom>
                    <a:noFill/>
                    <a:ln>
                      <a:noFill/>
                    </a:ln>
                  </pic:spPr>
                </pic:pic>
              </a:graphicData>
            </a:graphic>
          </wp:inline>
        </w:drawing>
      </w:r>
    </w:p>
    <w:p>
      <w:pPr>
        <w:jc w:val="center"/>
        <w:rPr>
          <w:rFonts w:hint="default" w:eastAsia="宋体"/>
          <w:b/>
          <w:bCs/>
          <w:sz w:val="21"/>
          <w:szCs w:val="21"/>
          <w:lang w:val="en-US" w:eastAsia="zh-CN"/>
        </w:rPr>
      </w:pPr>
      <w:r>
        <w:rPr>
          <w:rFonts w:hint="eastAsia"/>
          <w:b/>
          <w:bCs/>
          <w:sz w:val="21"/>
          <w:szCs w:val="21"/>
          <w:lang w:val="en-US" w:eastAsia="zh-CN"/>
        </w:rPr>
        <w:t xml:space="preserve">Figure 1. the AGC issue when the SCS of NR SL resource pool and the SCS of LTE SL resource pool are different </w:t>
      </w:r>
    </w:p>
    <w:p>
      <w:pPr>
        <w:pStyle w:val="61"/>
        <w:numPr>
          <w:ilvl w:val="0"/>
          <w:numId w:val="0"/>
        </w:numPr>
        <w:spacing w:after="120" w:line="240" w:lineRule="auto"/>
        <w:jc w:val="both"/>
        <w:rPr>
          <w:rFonts w:hint="default"/>
          <w:b/>
          <w:bCs/>
          <w:i/>
          <w:iCs/>
          <w:lang w:val="en-US" w:eastAsia="zh-CN"/>
        </w:rPr>
      </w:pPr>
      <w:r>
        <w:rPr>
          <w:rFonts w:hint="eastAsia"/>
          <w:b w:val="0"/>
          <w:bCs w:val="0"/>
          <w:i w:val="0"/>
          <w:iCs w:val="0"/>
          <w:lang w:val="en-US" w:eastAsia="zh-CN"/>
        </w:rPr>
        <w:t xml:space="preserve">However, supporting only 15 kHz SCS in </w:t>
      </w:r>
      <w:r>
        <w:rPr>
          <w:rFonts w:hint="eastAsia"/>
          <w:lang w:val="en-US" w:eastAsia="zh-CN"/>
        </w:rPr>
        <w:t xml:space="preserve">co-channel </w:t>
      </w:r>
      <w:r>
        <w:rPr>
          <w:rFonts w:hint="eastAsia"/>
          <w:b w:val="0"/>
          <w:bCs w:val="0"/>
          <w:i w:val="0"/>
          <w:iCs w:val="0"/>
          <w:lang w:val="en-US" w:eastAsia="zh-CN"/>
        </w:rPr>
        <w:t xml:space="preserve">coexistence scenario is too restrictive. This is because 30 kHz SCS is mandatory in the Rel-16 NR V2X UE, and if the Rel-18 NR V2X UE only supports 15 kHz SCS, it will be difficult for the Rel-18 NR V2X UE to coexist with the legacy Rel-16/Rel-17 NR V2X UE within the same sidelink BWP. </w:t>
      </w:r>
    </w:p>
    <w:p>
      <w:pPr>
        <w:pStyle w:val="61"/>
        <w:numPr>
          <w:ilvl w:val="0"/>
          <w:numId w:val="0"/>
        </w:numPr>
        <w:spacing w:after="120" w:line="240" w:lineRule="auto"/>
        <w:jc w:val="both"/>
        <w:rPr>
          <w:rFonts w:hint="eastAsia" w:ascii="Times New Roman" w:hAnsi="Times New Roman" w:eastAsia="宋体" w:cs="Times New Roman"/>
          <w:b/>
          <w:bCs/>
          <w:i/>
          <w:iCs/>
          <w:sz w:val="22"/>
          <w:szCs w:val="22"/>
          <w:lang w:val="en-US" w:eastAsia="zh-CN" w:bidi="ar-SA"/>
        </w:rPr>
      </w:pPr>
      <w:r>
        <w:rPr>
          <w:rFonts w:hint="eastAsia"/>
          <w:b/>
          <w:bCs/>
          <w:i/>
          <w:iCs/>
          <w:lang w:val="en-US" w:eastAsia="zh-CN"/>
        </w:rPr>
        <w:t>Proposal 1: F</w:t>
      </w:r>
      <w:r>
        <w:rPr>
          <w:rFonts w:hint="eastAsia" w:cs="Times New Roman"/>
          <w:b/>
          <w:bCs/>
          <w:i/>
          <w:iCs/>
          <w:sz w:val="22"/>
          <w:szCs w:val="22"/>
          <w:lang w:val="en-US" w:eastAsia="zh-CN" w:bidi="ar-SA"/>
        </w:rPr>
        <w:t>or co-channel coexistence in Rel-18, NR sidelink resource pool can be configured with 30 kHz SCS</w:t>
      </w:r>
      <w:r>
        <w:rPr>
          <w:rFonts w:hint="eastAsia" w:ascii="Times New Roman" w:hAnsi="Times New Roman" w:eastAsia="宋体" w:cs="Times New Roman"/>
          <w:b/>
          <w:bCs/>
          <w:i/>
          <w:iCs/>
          <w:sz w:val="22"/>
          <w:szCs w:val="22"/>
          <w:lang w:val="en-US" w:eastAsia="zh-CN" w:bidi="ar-SA"/>
        </w:rPr>
        <w:t>.</w:t>
      </w:r>
    </w:p>
    <w:p>
      <w:pPr>
        <w:pStyle w:val="61"/>
        <w:numPr>
          <w:ilvl w:val="0"/>
          <w:numId w:val="0"/>
        </w:numPr>
        <w:spacing w:after="120" w:line="240" w:lineRule="auto"/>
        <w:jc w:val="both"/>
        <w:rPr>
          <w:rFonts w:hint="eastAsia" w:ascii="Times New Roman" w:hAnsi="Times New Roman" w:eastAsia="宋体" w:cs="Times New Roman"/>
          <w:b/>
          <w:bCs/>
          <w:i/>
          <w:iCs/>
          <w:sz w:val="22"/>
          <w:szCs w:val="22"/>
          <w:lang w:val="en-US" w:eastAsia="zh-CN" w:bidi="ar-SA"/>
        </w:rPr>
      </w:pPr>
    </w:p>
    <w:p>
      <w:pPr>
        <w:pStyle w:val="61"/>
        <w:numPr>
          <w:ilvl w:val="0"/>
          <w:numId w:val="0"/>
        </w:numPr>
        <w:spacing w:after="120" w:line="240" w:lineRule="auto"/>
        <w:jc w:val="both"/>
        <w:rPr>
          <w:rFonts w:hint="eastAsia" w:cs="Times New Roman"/>
          <w:b w:val="0"/>
          <w:bCs w:val="0"/>
          <w:i w:val="0"/>
          <w:iCs w:val="0"/>
          <w:sz w:val="22"/>
          <w:szCs w:val="22"/>
          <w:lang w:val="en-US" w:eastAsia="zh-CN" w:bidi="ar-SA"/>
        </w:rPr>
      </w:pPr>
      <w:r>
        <w:rPr>
          <w:rFonts w:hint="eastAsia" w:cs="Times New Roman"/>
          <w:b w:val="0"/>
          <w:bCs w:val="0"/>
          <w:i w:val="0"/>
          <w:iCs w:val="0"/>
          <w:sz w:val="22"/>
          <w:szCs w:val="22"/>
          <w:lang w:val="en-US" w:eastAsia="zh-CN" w:bidi="ar-SA"/>
        </w:rPr>
        <w:t xml:space="preserve">To address the AGC issue caused by the different SCSs between the NR sidelink resource pool and the LTE sidelink resource pool, two options are proposed in last meeting </w:t>
      </w:r>
      <w:r>
        <w:rPr>
          <w:rFonts w:hint="eastAsia"/>
          <w:b w:val="0"/>
          <w:bCs w:val="0"/>
          <w:i w:val="0"/>
          <w:iCs w:val="0"/>
          <w:lang w:val="en-US" w:eastAsia="zh-CN"/>
        </w:rPr>
        <w:t>[</w:t>
      </w:r>
      <w:r>
        <w:rPr>
          <w:rFonts w:hint="eastAsia"/>
          <w:b w:val="0"/>
          <w:bCs w:val="0"/>
          <w:i w:val="0"/>
          <w:iCs w:val="0"/>
          <w:highlight w:val="none"/>
          <w:lang w:val="en-US" w:eastAsia="zh-CN"/>
        </w:rPr>
        <w:t>5</w:t>
      </w:r>
      <w:r>
        <w:rPr>
          <w:rFonts w:hint="eastAsia"/>
          <w:b w:val="0"/>
          <w:bCs w:val="0"/>
          <w:i w:val="0"/>
          <w:iCs w:val="0"/>
          <w:lang w:val="en-US" w:eastAsia="zh-CN"/>
        </w:rPr>
        <w:t>]</w:t>
      </w:r>
      <w:r>
        <w:rPr>
          <w:rFonts w:hint="eastAsia" w:cs="Times New Roman"/>
          <w:b w:val="0"/>
          <w:bCs w:val="0"/>
          <w:i w:val="0"/>
          <w:iCs w:val="0"/>
          <w:sz w:val="22"/>
          <w:szCs w:val="22"/>
          <w:lang w:val="en-US" w:eastAsia="zh-CN" w:bidi="ar-SA"/>
        </w:rPr>
        <w:t xml:space="preserve">. </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overflowPunct/>
              <w:autoSpaceDE/>
              <w:autoSpaceDN/>
              <w:adjustRightInd/>
              <w:spacing w:before="120" w:after="0" w:line="259" w:lineRule="auto"/>
              <w:jc w:val="both"/>
              <w:textAlignment w:val="auto"/>
              <w:rPr>
                <w:rFonts w:ascii="Times New Roman" w:hAnsi="Times New Roman" w:eastAsia="MS Mincho" w:cs="Times New Roman"/>
                <w:b/>
                <w:sz w:val="22"/>
                <w:szCs w:val="24"/>
                <w:lang w:val="en-US" w:eastAsia="en-US" w:bidi="ar-SA"/>
              </w:rPr>
            </w:pPr>
            <w:r>
              <w:rPr>
                <w:rFonts w:ascii="Times New Roman" w:hAnsi="Times New Roman" w:eastAsia="MS Mincho" w:cs="Times New Roman"/>
                <w:b/>
                <w:sz w:val="22"/>
                <w:szCs w:val="24"/>
                <w:lang w:val="en-US" w:eastAsia="en-US" w:bidi="ar-SA"/>
              </w:rPr>
              <w:t>Proposal 1-5 (II):</w:t>
            </w:r>
          </w:p>
          <w:p>
            <w:pPr>
              <w:widowControl w:val="0"/>
              <w:numPr>
                <w:ilvl w:val="0"/>
                <w:numId w:val="11"/>
              </w:numPr>
              <w:overflowPunct/>
              <w:autoSpaceDE/>
              <w:autoSpaceDN/>
              <w:adjustRightInd/>
              <w:spacing w:after="0" w:line="259" w:lineRule="auto"/>
              <w:ind w:left="360"/>
              <w:jc w:val="both"/>
              <w:textAlignment w:val="auto"/>
              <w:rPr>
                <w:rFonts w:ascii="Times New Roman" w:hAnsi="Times New Roman" w:eastAsia="MS Mincho" w:cs="Times New Roman"/>
                <w:b/>
                <w:sz w:val="22"/>
                <w:szCs w:val="22"/>
                <w:lang w:val="en-US" w:eastAsia="en-US" w:bidi="ar-SA"/>
              </w:rPr>
            </w:pPr>
            <w:r>
              <w:rPr>
                <w:rFonts w:ascii="Times New Roman" w:hAnsi="Times New Roman" w:eastAsia="MS Mincho" w:cs="Times New Roman"/>
                <w:b/>
                <w:sz w:val="22"/>
                <w:szCs w:val="22"/>
                <w:lang w:val="en-US" w:eastAsia="en-US" w:bidi="ar-SA"/>
              </w:rPr>
              <w:t>For dynamic resource pool sharing, the following options are studied to resolve the AGC issue in LTE SL UEs which is caused by NR SL PSCCH/PSSCH transmissions if higher SCSs are supported:</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b/>
                <w:sz w:val="22"/>
                <w:szCs w:val="22"/>
                <w:lang w:val="en-US" w:eastAsia="en-US" w:bidi="ar-SA"/>
              </w:rPr>
            </w:pPr>
            <w:r>
              <w:rPr>
                <w:rFonts w:ascii="Times New Roman" w:hAnsi="Times New Roman" w:eastAsia="MS Mincho" w:cs="Times New Roman"/>
                <w:b/>
                <w:sz w:val="22"/>
                <w:szCs w:val="22"/>
                <w:lang w:val="en-US" w:eastAsia="en-US" w:bidi="ar-SA"/>
              </w:rPr>
              <w:t xml:space="preserve">Option 1: The NR SL transmissions of higher SCSs are transmitted on all slots within a LTE SL subframe of 15 kHz </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2"/>
                <w:lang w:val="en-US" w:eastAsia="en-US" w:bidi="ar-SA"/>
              </w:rPr>
            </w:pPr>
            <w:r>
              <w:rPr>
                <w:rFonts w:ascii="Times New Roman" w:hAnsi="Times New Roman" w:eastAsia="MS Mincho" w:cs="Times New Roman"/>
                <w:b/>
                <w:sz w:val="22"/>
                <w:szCs w:val="22"/>
                <w:lang w:val="en-US" w:eastAsia="en-US" w:bidi="ar-SA"/>
              </w:rPr>
              <w:t>FFS: Whether this takes place in all slots configured within the LTE SL resource pool or only when the NR SL transmission overlaps an LTE SL transmission based on information shared by the LTE SL module.</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b/>
                <w:sz w:val="22"/>
                <w:szCs w:val="22"/>
                <w:lang w:val="en-US" w:eastAsia="en-US" w:bidi="ar-SA"/>
              </w:rPr>
            </w:pPr>
            <w:r>
              <w:rPr>
                <w:rFonts w:ascii="Times New Roman" w:hAnsi="Times New Roman" w:eastAsia="MS Mincho" w:cs="Times New Roman"/>
                <w:b/>
                <w:sz w:val="22"/>
                <w:szCs w:val="22"/>
                <w:lang w:val="en-US" w:eastAsia="en-US" w:bidi="ar-SA"/>
              </w:rPr>
              <w:t>Option 3: NR SL UE uses the information shared by the LTE SL module in its own resource selection procedure to exclude slots overlapping with LTE SL transmissions.</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2"/>
                <w:lang w:val="en-US" w:eastAsia="en-US" w:bidi="ar-SA"/>
              </w:rPr>
            </w:pPr>
            <w:r>
              <w:rPr>
                <w:rFonts w:ascii="Times New Roman" w:hAnsi="Times New Roman" w:eastAsia="Calibri" w:cs="Times New Roman"/>
                <w:b/>
                <w:color w:val="FF0000"/>
                <w:sz w:val="22"/>
                <w:szCs w:val="22"/>
                <w:lang w:val="en-US" w:eastAsia="en-US" w:bidi="ar-SA"/>
              </w:rPr>
              <w:t>FFS:</w:t>
            </w:r>
            <w:r>
              <w:rPr>
                <w:rFonts w:ascii="Times New Roman" w:hAnsi="Times New Roman" w:eastAsia="Calibri" w:cs="Times New Roman"/>
                <w:b/>
                <w:sz w:val="22"/>
                <w:szCs w:val="22"/>
                <w:lang w:val="en-US" w:eastAsia="en-US" w:bidi="ar-SA"/>
              </w:rPr>
              <w:t xml:space="preserve"> Exclude only those slots where the first symbol of the NR SL transmission is not overlapping in time with the first symbol of the LTE subframe.</w:t>
            </w:r>
          </w:p>
          <w:p>
            <w:pPr>
              <w:widowControl w:val="0"/>
              <w:numPr>
                <w:ilvl w:val="0"/>
                <w:numId w:val="11"/>
              </w:numPr>
              <w:overflowPunct/>
              <w:autoSpaceDE/>
              <w:autoSpaceDN/>
              <w:adjustRightInd/>
              <w:spacing w:after="0" w:line="259" w:lineRule="auto"/>
              <w:ind w:left="360"/>
              <w:jc w:val="both"/>
              <w:textAlignment w:val="auto"/>
              <w:rPr>
                <w:rFonts w:hint="default" w:ascii="Times New Roman" w:hAnsi="Times New Roman" w:eastAsia="MS Mincho" w:cs="Times New Roman"/>
                <w:b/>
                <w:color w:val="7030A0"/>
                <w:sz w:val="22"/>
                <w:szCs w:val="24"/>
                <w:lang w:val="en-US" w:eastAsia="zh-CN" w:bidi="ar-SA"/>
              </w:rPr>
            </w:pPr>
            <w:r>
              <w:rPr>
                <w:rFonts w:ascii="Times New Roman" w:hAnsi="Times New Roman" w:eastAsia="MS Mincho" w:cs="Times New Roman"/>
                <w:b/>
                <w:color w:val="FF0000"/>
                <w:sz w:val="22"/>
                <w:szCs w:val="22"/>
                <w:lang w:val="en-US" w:eastAsia="en-US" w:bidi="ar-SA"/>
              </w:rPr>
              <w:t>Note: This study does not imply RAN1 supporting higher SCS</w:t>
            </w:r>
          </w:p>
        </w:tc>
      </w:tr>
    </w:tbl>
    <w:p>
      <w:pPr>
        <w:pStyle w:val="61"/>
        <w:numPr>
          <w:ilvl w:val="0"/>
          <w:numId w:val="0"/>
        </w:numPr>
        <w:spacing w:after="120" w:line="240" w:lineRule="auto"/>
        <w:jc w:val="both"/>
        <w:rPr>
          <w:rFonts w:hint="eastAsia" w:ascii="Times New Roman" w:hAnsi="Times New Roman" w:eastAsia="宋体" w:cs="Times New Roman"/>
          <w:b/>
          <w:bCs/>
          <w:i/>
          <w:iCs/>
          <w:sz w:val="22"/>
          <w:szCs w:val="22"/>
          <w:lang w:val="en-US" w:eastAsia="zh-CN" w:bidi="ar-SA"/>
        </w:rPr>
      </w:pPr>
    </w:p>
    <w:p>
      <w:pPr>
        <w:pStyle w:val="61"/>
        <w:numPr>
          <w:ilvl w:val="0"/>
          <w:numId w:val="0"/>
        </w:numPr>
        <w:spacing w:after="120" w:line="240" w:lineRule="auto"/>
        <w:jc w:val="both"/>
        <w:rPr>
          <w:rFonts w:hint="default"/>
          <w:sz w:val="22"/>
          <w:lang w:val="en-US" w:eastAsia="zh-CN"/>
        </w:rPr>
      </w:pPr>
      <w:r>
        <w:rPr>
          <w:rFonts w:hint="eastAsia"/>
          <w:sz w:val="22"/>
          <w:lang w:val="en-US" w:eastAsia="zh-CN"/>
        </w:rPr>
        <w:t>Regarding Option 1, as mentioned above, e</w:t>
      </w:r>
      <w:r>
        <w:rPr>
          <w:sz w:val="22"/>
          <w:lang w:eastAsia="zh-CN"/>
        </w:rPr>
        <w:t xml:space="preserve">ven </w:t>
      </w:r>
      <w:r>
        <w:rPr>
          <w:rFonts w:hint="eastAsia"/>
          <w:sz w:val="22"/>
          <w:lang w:val="en-US" w:eastAsia="zh-CN"/>
        </w:rPr>
        <w:t xml:space="preserve">if </w:t>
      </w:r>
      <w:r>
        <w:rPr>
          <w:sz w:val="22"/>
          <w:lang w:eastAsia="zh-CN"/>
        </w:rPr>
        <w:t xml:space="preserve">two NR </w:t>
      </w:r>
      <w:r>
        <w:rPr>
          <w:rFonts w:hint="eastAsia"/>
          <w:sz w:val="22"/>
          <w:lang w:val="en-US" w:eastAsia="zh-CN"/>
        </w:rPr>
        <w:t>SL</w:t>
      </w:r>
      <w:r>
        <w:rPr>
          <w:sz w:val="22"/>
          <w:lang w:eastAsia="zh-CN"/>
        </w:rPr>
        <w:t xml:space="preserve"> transmissions are transmitted in </w:t>
      </w:r>
      <w:r>
        <w:rPr>
          <w:rFonts w:hint="eastAsia"/>
          <w:sz w:val="22"/>
          <w:lang w:val="en-US" w:eastAsia="zh-CN"/>
        </w:rPr>
        <w:t xml:space="preserve">the </w:t>
      </w:r>
      <w:r>
        <w:rPr>
          <w:sz w:val="22"/>
          <w:lang w:eastAsia="zh-CN"/>
        </w:rPr>
        <w:t xml:space="preserve">subframe of LTE SL transmission, the </w:t>
      </w:r>
      <w:r>
        <w:rPr>
          <w:rFonts w:hint="eastAsia"/>
          <w:sz w:val="22"/>
          <w:lang w:val="en-US" w:eastAsia="zh-CN"/>
        </w:rPr>
        <w:t>transmission</w:t>
      </w:r>
      <w:r>
        <w:rPr>
          <w:sz w:val="22"/>
          <w:lang w:eastAsia="zh-CN"/>
        </w:rPr>
        <w:t xml:space="preserve"> </w:t>
      </w:r>
      <w:r>
        <w:rPr>
          <w:rFonts w:hint="eastAsia"/>
          <w:sz w:val="22"/>
          <w:lang w:eastAsia="zh-CN"/>
        </w:rPr>
        <w:t>power</w:t>
      </w:r>
      <w:r>
        <w:rPr>
          <w:sz w:val="22"/>
          <w:lang w:eastAsia="zh-CN"/>
        </w:rPr>
        <w:t xml:space="preserve"> </w:t>
      </w:r>
      <w:r>
        <w:rPr>
          <w:rFonts w:hint="eastAsia"/>
          <w:sz w:val="22"/>
          <w:lang w:eastAsia="zh-CN"/>
        </w:rPr>
        <w:t>of</w:t>
      </w:r>
      <w:r>
        <w:rPr>
          <w:sz w:val="22"/>
          <w:lang w:eastAsia="zh-CN"/>
        </w:rPr>
        <w:t xml:space="preserve"> two NR</w:t>
      </w:r>
      <w:r>
        <w:rPr>
          <w:rFonts w:hint="eastAsia"/>
          <w:sz w:val="22"/>
          <w:lang w:val="en-US" w:eastAsia="zh-CN"/>
        </w:rPr>
        <w:t xml:space="preserve"> SL</w:t>
      </w:r>
      <w:r>
        <w:rPr>
          <w:sz w:val="22"/>
          <w:lang w:eastAsia="zh-CN"/>
        </w:rPr>
        <w:t xml:space="preserve"> transmissions may be varying, and there is also a gap between </w:t>
      </w:r>
      <w:r>
        <w:rPr>
          <w:rFonts w:hint="eastAsia"/>
          <w:sz w:val="22"/>
          <w:lang w:eastAsia="zh-CN"/>
        </w:rPr>
        <w:t>tw</w:t>
      </w:r>
      <w:r>
        <w:rPr>
          <w:sz w:val="22"/>
          <w:lang w:eastAsia="zh-CN"/>
        </w:rPr>
        <w:t>o NR sidelink slots.</w:t>
      </w:r>
      <w:r>
        <w:rPr>
          <w:rFonts w:hint="eastAsia"/>
          <w:sz w:val="22"/>
          <w:lang w:val="en-US" w:eastAsia="zh-CN"/>
        </w:rPr>
        <w:t xml:space="preserve"> Therefore, Option 1 cannot avoid AGC issue in some cases.</w:t>
      </w:r>
    </w:p>
    <w:p>
      <w:pPr>
        <w:pStyle w:val="61"/>
        <w:numPr>
          <w:ilvl w:val="0"/>
          <w:numId w:val="0"/>
        </w:numPr>
        <w:spacing w:after="120" w:line="240" w:lineRule="auto"/>
        <w:jc w:val="both"/>
        <w:rPr>
          <w:sz w:val="22"/>
          <w:lang w:eastAsia="zh-CN"/>
        </w:rPr>
      </w:pPr>
      <w:r>
        <w:rPr>
          <w:rFonts w:hint="eastAsia"/>
          <w:sz w:val="22"/>
          <w:lang w:val="en-US" w:eastAsia="zh-CN"/>
        </w:rPr>
        <w:t>Regarding</w:t>
      </w:r>
      <w:r>
        <w:rPr>
          <w:sz w:val="22"/>
          <w:lang w:eastAsia="zh-CN"/>
        </w:rPr>
        <w:t xml:space="preserve"> the FFS of Option 3</w:t>
      </w:r>
      <w:r>
        <w:rPr>
          <w:rFonts w:hint="eastAsia"/>
          <w:sz w:val="22"/>
          <w:lang w:val="en-US" w:eastAsia="zh-CN"/>
        </w:rPr>
        <w:t>,</w:t>
      </w:r>
      <w:r>
        <w:rPr>
          <w:sz w:val="22"/>
          <w:lang w:eastAsia="zh-CN"/>
        </w:rPr>
        <w:t xml:space="preserve"> only exclude the slot in the second half </w:t>
      </w:r>
      <w:r>
        <w:rPr>
          <w:rFonts w:hint="eastAsia"/>
          <w:sz w:val="22"/>
          <w:lang w:val="en-US" w:eastAsia="zh-CN"/>
        </w:rPr>
        <w:t>of</w:t>
      </w:r>
      <w:r>
        <w:rPr>
          <w:sz w:val="22"/>
          <w:lang w:eastAsia="zh-CN"/>
        </w:rPr>
        <w:t xml:space="preserve"> LTE SL transmission</w:t>
      </w:r>
      <w:r>
        <w:rPr>
          <w:rFonts w:hint="eastAsia"/>
          <w:sz w:val="22"/>
          <w:lang w:val="en-US" w:eastAsia="zh-CN"/>
        </w:rPr>
        <w:t xml:space="preserve"> </w:t>
      </w:r>
      <w:r>
        <w:rPr>
          <w:sz w:val="22"/>
          <w:lang w:eastAsia="zh-CN"/>
        </w:rPr>
        <w:t>is not sufficient if NR SL transmission only occurs in slot of the first half of LTE SL transmission.</w:t>
      </w:r>
    </w:p>
    <w:p>
      <w:pPr>
        <w:pStyle w:val="61"/>
        <w:numPr>
          <w:ilvl w:val="0"/>
          <w:numId w:val="0"/>
        </w:numPr>
        <w:spacing w:after="120" w:line="240" w:lineRule="auto"/>
        <w:jc w:val="both"/>
        <w:rPr>
          <w:rFonts w:hint="default" w:ascii="Times New Roman" w:hAnsi="Times New Roman" w:eastAsia="宋体" w:cs="Times New Roman"/>
          <w:b/>
          <w:bCs/>
          <w:i/>
          <w:iCs/>
          <w:sz w:val="22"/>
          <w:szCs w:val="22"/>
          <w:lang w:val="en-US" w:eastAsia="zh-CN" w:bidi="ar-SA"/>
        </w:rPr>
      </w:pPr>
      <w:r>
        <w:rPr>
          <w:rFonts w:hint="eastAsia" w:cs="Times New Roman"/>
          <w:b/>
          <w:bCs/>
          <w:i/>
          <w:iCs/>
          <w:sz w:val="22"/>
          <w:szCs w:val="22"/>
          <w:lang w:val="en-US" w:eastAsia="zh-CN" w:bidi="ar-SA"/>
        </w:rPr>
        <w:t>Proposal 2: NR SL UE uses the information shared by the LTE SL module in its own resource selection procedure to exclude slots overlapping with LTE SL transmissions.</w:t>
      </w:r>
    </w:p>
    <w:p>
      <w:pPr>
        <w:pStyle w:val="61"/>
        <w:numPr>
          <w:ilvl w:val="0"/>
          <w:numId w:val="0"/>
        </w:numPr>
        <w:spacing w:after="120" w:line="240" w:lineRule="auto"/>
        <w:jc w:val="both"/>
        <w:rPr>
          <w:rFonts w:hint="eastAsia" w:ascii="Times New Roman" w:hAnsi="Times New Roman" w:eastAsia="宋体" w:cs="Times New Roman"/>
          <w:b/>
          <w:bCs/>
          <w:i/>
          <w:iCs/>
          <w:sz w:val="22"/>
          <w:szCs w:val="22"/>
          <w:lang w:val="en-US" w:eastAsia="zh-CN" w:bidi="ar-SA"/>
        </w:rPr>
      </w:pPr>
    </w:p>
    <w:p>
      <w:pPr>
        <w:pStyle w:val="61"/>
        <w:numPr>
          <w:ilvl w:val="0"/>
          <w:numId w:val="0"/>
        </w:numPr>
        <w:spacing w:after="120" w:line="240" w:lineRule="auto"/>
        <w:jc w:val="both"/>
        <w:rPr>
          <w:rFonts w:hint="default"/>
          <w:lang w:val="en-US" w:eastAsia="zh-CN"/>
        </w:rPr>
      </w:pPr>
      <w:r>
        <w:rPr>
          <w:rFonts w:hint="eastAsia" w:cs="Times New Roman"/>
          <w:sz w:val="22"/>
          <w:szCs w:val="22"/>
          <w:lang w:val="en-US" w:eastAsia="zh-CN" w:bidi="ar-SA"/>
        </w:rPr>
        <w:t xml:space="preserve">In NR sidelink, the PSFCH is located in the sidelink slot along with the PSCCH/PSSCH. The transmitting power of PSFCH is different from that of PSCCH/PSSCH, which means that the transmitting power changes in one NR sidelink slot. </w:t>
      </w:r>
      <w:r>
        <w:rPr>
          <w:rFonts w:hint="eastAsia" w:ascii="Times New Roman" w:hAnsi="Times New Roman" w:eastAsia="宋体" w:cs="Times New Roman"/>
          <w:sz w:val="22"/>
          <w:szCs w:val="22"/>
          <w:lang w:val="en-US" w:eastAsia="zh-CN" w:bidi="ar-SA"/>
        </w:rPr>
        <w:t>Similarly</w:t>
      </w:r>
      <w:r>
        <w:rPr>
          <w:rFonts w:hint="eastAsia" w:cs="Times New Roman"/>
          <w:sz w:val="22"/>
          <w:szCs w:val="22"/>
          <w:lang w:val="en-US" w:eastAsia="zh-CN" w:bidi="ar-SA"/>
        </w:rPr>
        <w:t xml:space="preserve">, variation in transmitting power will result in variation in received power of the </w:t>
      </w:r>
      <w:r>
        <w:rPr>
          <w:rFonts w:hint="eastAsia"/>
          <w:lang w:val="en-US" w:eastAsia="zh-CN"/>
        </w:rPr>
        <w:t xml:space="preserve">LTE sidelink receiving UE, which can lead to inaccurate AGC estimation for the LTE sidelink receiving UE, and further affect the reception of LTE sidelink transmissions by the LTE sidelink receiving UE. Not configuring PSFCH in the NR sidelink resource pool is a straightforward solution to the AGC issues. However, </w:t>
      </w:r>
      <w:r>
        <w:rPr>
          <w:rFonts w:hint="default"/>
          <w:lang w:val="en-US" w:eastAsia="zh-CN"/>
        </w:rPr>
        <w:t xml:space="preserve">PSFCH is an important feature of NR </w:t>
      </w:r>
      <w:r>
        <w:rPr>
          <w:rFonts w:hint="eastAsia"/>
          <w:lang w:val="en-US" w:eastAsia="zh-CN"/>
        </w:rPr>
        <w:t>sidelink</w:t>
      </w:r>
      <w:r>
        <w:rPr>
          <w:rFonts w:hint="default"/>
          <w:lang w:val="en-US" w:eastAsia="zh-CN"/>
        </w:rPr>
        <w:t xml:space="preserve"> to improve efficiency and reliability, and the performance improvement of NR </w:t>
      </w:r>
      <w:r>
        <w:rPr>
          <w:rFonts w:hint="eastAsia"/>
          <w:lang w:val="en-US" w:eastAsia="zh-CN"/>
        </w:rPr>
        <w:t>sidelink</w:t>
      </w:r>
      <w:r>
        <w:rPr>
          <w:rFonts w:hint="default"/>
          <w:lang w:val="en-US" w:eastAsia="zh-CN"/>
        </w:rPr>
        <w:t xml:space="preserve"> with HARQ-ACK disabled is not significant compared to LTE </w:t>
      </w:r>
      <w:r>
        <w:rPr>
          <w:rFonts w:hint="eastAsia"/>
          <w:lang w:val="en-US" w:eastAsia="zh-CN"/>
        </w:rPr>
        <w:t>sidelink</w:t>
      </w:r>
      <w:r>
        <w:rPr>
          <w:rFonts w:hint="default"/>
          <w:lang w:val="en-US" w:eastAsia="zh-CN"/>
        </w:rPr>
        <w:t>.</w:t>
      </w:r>
    </w:p>
    <w:p>
      <w:pPr>
        <w:pStyle w:val="61"/>
        <w:numPr>
          <w:ilvl w:val="0"/>
          <w:numId w:val="0"/>
        </w:numPr>
        <w:spacing w:after="120" w:line="240" w:lineRule="auto"/>
        <w:jc w:val="center"/>
      </w:pPr>
      <w:r>
        <w:drawing>
          <wp:inline distT="0" distB="0" distL="114300" distR="114300">
            <wp:extent cx="3228340" cy="2005965"/>
            <wp:effectExtent l="0" t="0" r="10160" b="63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5"/>
                    <a:stretch>
                      <a:fillRect/>
                    </a:stretch>
                  </pic:blipFill>
                  <pic:spPr>
                    <a:xfrm>
                      <a:off x="0" y="0"/>
                      <a:ext cx="3228340" cy="2005965"/>
                    </a:xfrm>
                    <a:prstGeom prst="rect">
                      <a:avLst/>
                    </a:prstGeom>
                    <a:noFill/>
                    <a:ln>
                      <a:noFill/>
                    </a:ln>
                  </pic:spPr>
                </pic:pic>
              </a:graphicData>
            </a:graphic>
          </wp:inline>
        </w:drawing>
      </w:r>
    </w:p>
    <w:p>
      <w:pPr>
        <w:pStyle w:val="61"/>
        <w:numPr>
          <w:ilvl w:val="0"/>
          <w:numId w:val="0"/>
        </w:numPr>
        <w:spacing w:after="120" w:line="240" w:lineRule="auto"/>
        <w:jc w:val="center"/>
        <w:rPr>
          <w:rFonts w:hint="default" w:eastAsia="宋体"/>
          <w:b/>
          <w:bCs/>
          <w:sz w:val="21"/>
          <w:szCs w:val="21"/>
          <w:lang w:val="en-US" w:eastAsia="zh-CN"/>
        </w:rPr>
      </w:pPr>
      <w:r>
        <w:rPr>
          <w:rFonts w:hint="eastAsia"/>
          <w:b/>
          <w:bCs/>
          <w:sz w:val="21"/>
          <w:szCs w:val="21"/>
          <w:lang w:val="en-US" w:eastAsia="zh-CN"/>
        </w:rPr>
        <w:t>Figure 2. the AGC issue when PSFCH is present</w:t>
      </w:r>
    </w:p>
    <w:p>
      <w:pPr>
        <w:pStyle w:val="61"/>
        <w:numPr>
          <w:ilvl w:val="0"/>
          <w:numId w:val="0"/>
        </w:numPr>
        <w:spacing w:after="120" w:line="240" w:lineRule="auto"/>
        <w:jc w:val="both"/>
        <w:rPr>
          <w:rFonts w:hint="eastAsia"/>
          <w:b w:val="0"/>
          <w:bCs w:val="0"/>
          <w:i w:val="0"/>
          <w:iCs w:val="0"/>
          <w:lang w:val="en-US" w:eastAsia="zh-CN"/>
        </w:rPr>
      </w:pPr>
      <w:r>
        <w:rPr>
          <w:rFonts w:hint="eastAsia"/>
          <w:b w:val="0"/>
          <w:bCs w:val="0"/>
          <w:i w:val="0"/>
          <w:iCs w:val="0"/>
          <w:lang w:val="en-US" w:eastAsia="zh-CN"/>
        </w:rPr>
        <w:t>Two alternatives of PSFCH constraints were proposed and agreed at RAN1#110 meeting, and these two alternatives need to be down-selected. The following proposal [</w:t>
      </w:r>
      <w:bookmarkStart w:id="11" w:name="_GoBack"/>
      <w:r>
        <w:rPr>
          <w:rFonts w:hint="eastAsia"/>
          <w:b w:val="0"/>
          <w:bCs w:val="0"/>
          <w:i w:val="0"/>
          <w:iCs w:val="0"/>
          <w:highlight w:val="none"/>
          <w:lang w:val="en-US" w:eastAsia="zh-CN"/>
        </w:rPr>
        <w:t>5</w:t>
      </w:r>
      <w:bookmarkEnd w:id="11"/>
      <w:r>
        <w:rPr>
          <w:rFonts w:hint="eastAsia"/>
          <w:b w:val="0"/>
          <w:bCs w:val="0"/>
          <w:i w:val="0"/>
          <w:iCs w:val="0"/>
          <w:lang w:val="en-US" w:eastAsia="zh-CN"/>
        </w:rPr>
        <w:t>] was discussed extensively at  RAN1#111 meeting, but no consensus was reached.</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overflowPunct/>
              <w:autoSpaceDE/>
              <w:autoSpaceDN/>
              <w:adjustRightInd/>
              <w:spacing w:before="120" w:after="0" w:line="259" w:lineRule="auto"/>
              <w:jc w:val="both"/>
              <w:textAlignment w:val="auto"/>
              <w:rPr>
                <w:rFonts w:ascii="Times New Roman" w:hAnsi="Times New Roman" w:eastAsia="MS Mincho" w:cs="Times New Roman"/>
                <w:b/>
                <w:sz w:val="22"/>
                <w:szCs w:val="24"/>
                <w:lang w:val="en-US" w:eastAsia="en-US" w:bidi="ar-SA"/>
              </w:rPr>
            </w:pPr>
            <w:r>
              <w:rPr>
                <w:rFonts w:ascii="Times New Roman" w:hAnsi="Times New Roman" w:eastAsia="MS Mincho" w:cs="Times New Roman"/>
                <w:b/>
                <w:sz w:val="22"/>
                <w:szCs w:val="24"/>
                <w:lang w:val="en-US" w:eastAsia="en-US" w:bidi="ar-SA"/>
              </w:rPr>
              <w:t>Proposal 1-1(VII):</w:t>
            </w:r>
          </w:p>
          <w:p>
            <w:pPr>
              <w:widowControl w:val="0"/>
              <w:numPr>
                <w:ilvl w:val="0"/>
                <w:numId w:val="11"/>
              </w:numPr>
              <w:overflowPunct/>
              <w:autoSpaceDE/>
              <w:autoSpaceDN/>
              <w:adjustRightInd/>
              <w:spacing w:after="0" w:line="259" w:lineRule="auto"/>
              <w:ind w:left="360"/>
              <w:jc w:val="both"/>
              <w:textAlignment w:val="auto"/>
              <w:rPr>
                <w:rFonts w:ascii="Times New Roman" w:hAnsi="Times New Roman" w:eastAsia="MS Mincho" w:cs="Times New Roman"/>
                <w:b/>
                <w:sz w:val="22"/>
                <w:szCs w:val="24"/>
                <w:lang w:val="en-US" w:eastAsia="en-US" w:bidi="ar-SA"/>
              </w:rPr>
            </w:pPr>
            <w:r>
              <w:rPr>
                <w:rFonts w:ascii="Times New Roman" w:hAnsi="Times New Roman" w:eastAsia="MS Mincho" w:cs="Times New Roman"/>
                <w:b/>
                <w:sz w:val="22"/>
                <w:szCs w:val="24"/>
                <w:lang w:val="en-US" w:eastAsia="en-US" w:bidi="ar-SA"/>
              </w:rPr>
              <w:t>For dynamic resource pool sharing, in NR SL resource pools with PSFCH configured and when HARQ-ACK is enabled, based on (pre-)configuration, when PSFCH resources overlap with resources to be used for LTE SL transmissions in the time domain, the NR SL UE</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 xml:space="preserve">Always avoids transmissions on the PSFCH resources </w:t>
            </w:r>
            <w:r>
              <w:rPr>
                <w:rFonts w:ascii="Times New Roman" w:hAnsi="Times New Roman" w:eastAsia="MS Mincho" w:cs="Times New Roman"/>
                <w:b/>
                <w:strike/>
                <w:color w:val="FF0000"/>
                <w:sz w:val="22"/>
                <w:szCs w:val="24"/>
                <w:lang w:val="en-GB" w:eastAsia="en-US" w:bidi="ar-SA"/>
              </w:rPr>
              <w:t>(Alt 1)</w:t>
            </w:r>
            <w:r>
              <w:rPr>
                <w:rFonts w:ascii="Times New Roman" w:hAnsi="Times New Roman" w:eastAsia="MS Mincho" w:cs="Times New Roman"/>
                <w:b/>
                <w:sz w:val="22"/>
                <w:szCs w:val="24"/>
                <w:lang w:val="en-GB" w:eastAsia="en-US" w:bidi="ar-SA"/>
              </w:rPr>
              <w:t>, or</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color w:val="FF0000"/>
                <w:sz w:val="22"/>
                <w:szCs w:val="24"/>
                <w:lang w:val="en-GB" w:eastAsia="en-US" w:bidi="ar-SA"/>
              </w:rPr>
              <w:t>FFS details including whether the TX UE avoid selecting resources for PSCCH/PSSCH transmissions with the overlapping PSFCH resources and/or RX UE does not transmit on the overlapping PSFCH resources.</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 xml:space="preserve">Does not avoid transmission on the PSFCH resources </w:t>
            </w:r>
            <w:r>
              <w:rPr>
                <w:rFonts w:ascii="Times New Roman" w:hAnsi="Times New Roman" w:eastAsia="MS Mincho" w:cs="Times New Roman"/>
                <w:b/>
                <w:strike/>
                <w:color w:val="FF0000"/>
                <w:sz w:val="22"/>
                <w:szCs w:val="24"/>
                <w:lang w:val="en-GB" w:eastAsia="en-US" w:bidi="ar-SA"/>
              </w:rPr>
              <w:t>(Alt 2)</w:t>
            </w:r>
            <w:r>
              <w:rPr>
                <w:rFonts w:ascii="Times New Roman" w:hAnsi="Times New Roman" w:eastAsia="MS Mincho" w:cs="Times New Roman"/>
                <w:b/>
                <w:sz w:val="22"/>
                <w:szCs w:val="24"/>
                <w:lang w:val="en-GB" w:eastAsia="en-US" w:bidi="ar-SA"/>
              </w:rPr>
              <w:t>, or</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Conditionally avoids transmissions on a subset of the PSFCH resources.</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color w:val="FF0000"/>
                <w:sz w:val="22"/>
                <w:szCs w:val="24"/>
                <w:lang w:val="en-GB" w:eastAsia="en-US" w:bidi="ar-SA"/>
              </w:rPr>
            </w:pPr>
            <w:r>
              <w:rPr>
                <w:rFonts w:ascii="Times New Roman" w:hAnsi="Times New Roman" w:eastAsia="MS Mincho" w:cs="Times New Roman"/>
                <w:b/>
                <w:color w:val="FF0000"/>
                <w:sz w:val="22"/>
                <w:szCs w:val="24"/>
                <w:lang w:val="en-GB" w:eastAsia="en-US" w:bidi="ar-SA"/>
              </w:rPr>
              <w:t xml:space="preserve">FFS details of conditions including </w:t>
            </w:r>
          </w:p>
          <w:p>
            <w:pPr>
              <w:widowControl w:val="0"/>
              <w:numPr>
                <w:ilvl w:val="3"/>
                <w:numId w:val="11"/>
              </w:numPr>
              <w:overflowPunct/>
              <w:autoSpaceDE/>
              <w:autoSpaceDN/>
              <w:adjustRightInd/>
              <w:spacing w:after="0" w:line="259" w:lineRule="auto"/>
              <w:ind w:left="1440"/>
              <w:jc w:val="both"/>
              <w:textAlignment w:val="auto"/>
              <w:rPr>
                <w:rFonts w:ascii="Times New Roman" w:hAnsi="Times New Roman" w:eastAsia="MS Mincho" w:cs="Times New Roman"/>
                <w:b/>
                <w:color w:val="FF0000"/>
                <w:sz w:val="22"/>
                <w:szCs w:val="24"/>
                <w:lang w:val="en-GB" w:eastAsia="en-US" w:bidi="ar-SA"/>
              </w:rPr>
            </w:pPr>
            <w:r>
              <w:rPr>
                <w:rFonts w:ascii="Times New Roman" w:hAnsi="Times New Roman" w:eastAsia="MS Mincho" w:cs="Times New Roman"/>
                <w:b/>
                <w:color w:val="FF0000"/>
                <w:sz w:val="22"/>
                <w:szCs w:val="24"/>
                <w:lang w:val="en-GB" w:eastAsia="en-US" w:bidi="ar-SA"/>
              </w:rPr>
              <w:t>a (pre-)configured subset,</w:t>
            </w:r>
          </w:p>
          <w:p>
            <w:pPr>
              <w:widowControl w:val="0"/>
              <w:numPr>
                <w:ilvl w:val="3"/>
                <w:numId w:val="11"/>
              </w:numPr>
              <w:overflowPunct/>
              <w:autoSpaceDE/>
              <w:autoSpaceDN/>
              <w:adjustRightInd/>
              <w:spacing w:after="0" w:line="259" w:lineRule="auto"/>
              <w:ind w:left="1440"/>
              <w:jc w:val="both"/>
              <w:textAlignment w:val="auto"/>
              <w:rPr>
                <w:rFonts w:ascii="Times New Roman" w:hAnsi="Times New Roman" w:eastAsia="MS Mincho" w:cs="Times New Roman"/>
                <w:b/>
                <w:color w:val="FF0000"/>
                <w:sz w:val="22"/>
                <w:szCs w:val="24"/>
                <w:lang w:val="en-GB" w:eastAsia="en-US" w:bidi="ar-SA"/>
              </w:rPr>
            </w:pPr>
            <w:r>
              <w:rPr>
                <w:rFonts w:ascii="Times New Roman" w:hAnsi="Times New Roman" w:eastAsia="MS Mincho" w:cs="Times New Roman"/>
                <w:b/>
                <w:color w:val="FF0000"/>
                <w:sz w:val="22"/>
                <w:szCs w:val="24"/>
                <w:lang w:val="en-GB" w:eastAsia="en-US" w:bidi="ar-SA"/>
              </w:rPr>
              <w:t>the consideration of the LTE RSRP and LTE and/or NR priority,</w:t>
            </w:r>
          </w:p>
          <w:p>
            <w:pPr>
              <w:widowControl w:val="0"/>
              <w:numPr>
                <w:ilvl w:val="3"/>
                <w:numId w:val="11"/>
              </w:numPr>
              <w:overflowPunct/>
              <w:autoSpaceDE/>
              <w:autoSpaceDN/>
              <w:adjustRightInd/>
              <w:spacing w:after="0" w:line="259" w:lineRule="auto"/>
              <w:ind w:left="1440"/>
              <w:jc w:val="both"/>
              <w:textAlignment w:val="auto"/>
              <w:rPr>
                <w:rFonts w:ascii="Times New Roman" w:hAnsi="Times New Roman" w:eastAsia="MS Mincho" w:cs="Times New Roman"/>
                <w:b/>
                <w:color w:val="FF0000"/>
                <w:sz w:val="22"/>
                <w:szCs w:val="24"/>
                <w:lang w:val="en-GB" w:eastAsia="en-US" w:bidi="ar-SA"/>
              </w:rPr>
            </w:pPr>
            <w:r>
              <w:rPr>
                <w:rFonts w:ascii="Times New Roman" w:hAnsi="Times New Roman" w:eastAsia="MS Mincho" w:cs="Times New Roman"/>
                <w:b/>
                <w:color w:val="FF0000"/>
                <w:sz w:val="22"/>
                <w:szCs w:val="24"/>
                <w:lang w:val="en-GB" w:eastAsia="en-US" w:bidi="ar-SA"/>
              </w:rPr>
              <w:t xml:space="preserve">presence of PSCCH/PSSCH transmission in the same </w:t>
            </w:r>
            <w:r>
              <w:rPr>
                <w:rFonts w:ascii="Times New Roman" w:hAnsi="Times New Roman" w:eastAsia="MS Mincho" w:cs="Times New Roman"/>
                <w:b/>
                <w:strike/>
                <w:color w:val="FF0000"/>
                <w:sz w:val="22"/>
                <w:szCs w:val="24"/>
                <w:lang w:val="en-GB" w:eastAsia="en-US" w:bidi="ar-SA"/>
              </w:rPr>
              <w:t>time slot</w:t>
            </w:r>
            <w:r>
              <w:rPr>
                <w:rFonts w:ascii="Times New Roman" w:hAnsi="Times New Roman" w:eastAsia="MS Mincho" w:cs="Times New Roman"/>
                <w:b/>
                <w:color w:val="FF0000"/>
                <w:sz w:val="22"/>
                <w:szCs w:val="24"/>
                <w:lang w:val="en-GB" w:eastAsia="en-US" w:bidi="ar-SA"/>
              </w:rPr>
              <w:t xml:space="preserve"> LTE subframe as PSFCH transmission with the same power by the same UE.</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FFS for the case when there is an overlapping of time and frequency resources between PSFCH and LTE SL transmission</w:t>
            </w:r>
          </w:p>
          <w:p>
            <w:pPr>
              <w:widowControl w:val="0"/>
              <w:numPr>
                <w:ilvl w:val="0"/>
                <w:numId w:val="11"/>
              </w:numPr>
              <w:overflowPunct/>
              <w:autoSpaceDE/>
              <w:autoSpaceDN/>
              <w:adjustRightInd/>
              <w:spacing w:after="0" w:line="259" w:lineRule="auto"/>
              <w:ind w:left="360"/>
              <w:jc w:val="both"/>
              <w:textAlignment w:val="auto"/>
              <w:rPr>
                <w:rFonts w:ascii="Times New Roman" w:hAnsi="Times New Roman" w:eastAsia="MS Mincho" w:cs="Times New Roman"/>
                <w:b/>
                <w:sz w:val="22"/>
                <w:szCs w:val="24"/>
                <w:lang w:val="en-US" w:eastAsia="en-US" w:bidi="ar-SA"/>
              </w:rPr>
            </w:pPr>
            <w:r>
              <w:rPr>
                <w:rFonts w:ascii="Times New Roman" w:hAnsi="Times New Roman" w:eastAsia="MS Mincho" w:cs="Times New Roman"/>
                <w:b/>
                <w:sz w:val="22"/>
                <w:szCs w:val="24"/>
                <w:lang w:val="en-US" w:eastAsia="en-US" w:bidi="ar-SA"/>
              </w:rPr>
              <w:t>Introduce additional PSFCH periodicity of [5, 8 and] 10.</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Note: Alignment between PSFCH periodicity and LTE logical subframes should be ensured by proper configuration.</w:t>
            </w:r>
          </w:p>
          <w:p>
            <w:pPr>
              <w:widowControl w:val="0"/>
              <w:numPr>
                <w:ilvl w:val="0"/>
                <w:numId w:val="11"/>
              </w:numPr>
              <w:overflowPunct/>
              <w:autoSpaceDE/>
              <w:autoSpaceDN/>
              <w:adjustRightInd/>
              <w:spacing w:after="0" w:line="259" w:lineRule="auto"/>
              <w:ind w:left="360"/>
              <w:jc w:val="both"/>
              <w:textAlignment w:val="auto"/>
              <w:rPr>
                <w:rFonts w:ascii="Times New Roman" w:hAnsi="Times New Roman" w:eastAsia="MS Mincho" w:cs="Times New Roman"/>
                <w:b/>
                <w:sz w:val="22"/>
                <w:szCs w:val="24"/>
                <w:lang w:val="en-US" w:eastAsia="en-US" w:bidi="ar-SA"/>
              </w:rPr>
            </w:pPr>
            <w:r>
              <w:rPr>
                <w:rFonts w:ascii="Times New Roman" w:hAnsi="Times New Roman" w:eastAsia="MS Mincho" w:cs="Times New Roman"/>
                <w:b/>
                <w:sz w:val="22"/>
                <w:szCs w:val="24"/>
                <w:lang w:val="en-US" w:eastAsia="en-US" w:bidi="ar-SA"/>
              </w:rPr>
              <w:t>FFS: Whether to confine the PSFCH transmission, in the time domain, within the guard symbol of the LTE SL subframe.</w:t>
            </w:r>
          </w:p>
          <w:p>
            <w:pPr>
              <w:widowControl w:val="0"/>
              <w:numPr>
                <w:ilvl w:val="0"/>
                <w:numId w:val="11"/>
              </w:numPr>
              <w:overflowPunct/>
              <w:autoSpaceDE/>
              <w:autoSpaceDN/>
              <w:adjustRightInd/>
              <w:spacing w:after="0" w:line="259" w:lineRule="auto"/>
              <w:ind w:left="360"/>
              <w:jc w:val="both"/>
              <w:textAlignment w:val="auto"/>
              <w:rPr>
                <w:rFonts w:ascii="Times New Roman" w:hAnsi="Times New Roman" w:eastAsia="MS Mincho" w:cs="Times New Roman"/>
                <w:b/>
                <w:sz w:val="22"/>
                <w:szCs w:val="24"/>
                <w:lang w:val="en-US" w:eastAsia="en-US" w:bidi="ar-SA"/>
              </w:rPr>
            </w:pPr>
            <w:r>
              <w:rPr>
                <w:rFonts w:ascii="Times New Roman" w:hAnsi="Times New Roman" w:eastAsia="MS Mincho" w:cs="Times New Roman"/>
                <w:b/>
                <w:sz w:val="22"/>
                <w:szCs w:val="24"/>
                <w:lang w:val="en-US" w:eastAsia="en-US" w:bidi="ar-SA"/>
              </w:rPr>
              <w:t xml:space="preserve">FFS details </w:t>
            </w:r>
            <w:r>
              <w:rPr>
                <w:rFonts w:ascii="Times New Roman" w:hAnsi="Times New Roman" w:eastAsia="MS Mincho" w:cs="Times New Roman"/>
                <w:b/>
                <w:strike/>
                <w:color w:val="FF0000"/>
                <w:sz w:val="22"/>
                <w:szCs w:val="24"/>
                <w:lang w:val="en-US" w:eastAsia="en-US" w:bidi="ar-SA"/>
              </w:rPr>
              <w:t>including the conditions</w:t>
            </w:r>
            <w:r>
              <w:rPr>
                <w:rFonts w:ascii="Times New Roman" w:hAnsi="Times New Roman" w:eastAsia="MS Mincho" w:cs="Times New Roman"/>
                <w:b/>
                <w:sz w:val="22"/>
                <w:szCs w:val="24"/>
                <w:lang w:val="en-US" w:eastAsia="en-US" w:bidi="ar-SA"/>
              </w:rPr>
              <w:t>.</w:t>
            </w:r>
          </w:p>
          <w:p>
            <w:pPr>
              <w:widowControl w:val="0"/>
              <w:numPr>
                <w:ilvl w:val="0"/>
                <w:numId w:val="0"/>
              </w:numPr>
              <w:overflowPunct/>
              <w:autoSpaceDE/>
              <w:autoSpaceDN/>
              <w:adjustRightInd/>
              <w:spacing w:after="0" w:line="259" w:lineRule="auto"/>
              <w:ind w:leftChars="0"/>
              <w:jc w:val="both"/>
              <w:textAlignment w:val="auto"/>
              <w:rPr>
                <w:rFonts w:hint="default" w:ascii="Times New Roman" w:hAnsi="Times New Roman" w:eastAsia="MS Mincho" w:cs="Times New Roman"/>
                <w:b/>
                <w:color w:val="7030A0"/>
                <w:sz w:val="22"/>
                <w:szCs w:val="24"/>
                <w:lang w:val="en-US" w:eastAsia="zh-CN" w:bidi="ar-SA"/>
              </w:rPr>
            </w:pPr>
          </w:p>
        </w:tc>
      </w:tr>
    </w:tbl>
    <w:p>
      <w:pPr>
        <w:pStyle w:val="61"/>
        <w:numPr>
          <w:ilvl w:val="0"/>
          <w:numId w:val="0"/>
        </w:numPr>
        <w:spacing w:after="120" w:line="240" w:lineRule="auto"/>
        <w:jc w:val="both"/>
        <w:rPr>
          <w:rFonts w:hint="default"/>
          <w:b w:val="0"/>
          <w:bCs w:val="0"/>
          <w:i w:val="0"/>
          <w:iCs w:val="0"/>
          <w:lang w:val="en-US" w:eastAsia="zh-CN"/>
        </w:rPr>
      </w:pPr>
    </w:p>
    <w:p>
      <w:pPr>
        <w:pStyle w:val="61"/>
        <w:numPr>
          <w:ilvl w:val="0"/>
          <w:numId w:val="0"/>
        </w:numPr>
        <w:spacing w:after="120" w:line="240" w:lineRule="auto"/>
        <w:jc w:val="both"/>
        <w:rPr>
          <w:rFonts w:hint="eastAsia"/>
          <w:b w:val="0"/>
          <w:bCs w:val="0"/>
          <w:i w:val="0"/>
          <w:iCs w:val="0"/>
          <w:lang w:val="en-US" w:eastAsia="zh-CN"/>
        </w:rPr>
      </w:pPr>
      <w:r>
        <w:rPr>
          <w:rFonts w:hint="eastAsia"/>
          <w:b w:val="0"/>
          <w:bCs w:val="0"/>
          <w:i w:val="0"/>
          <w:iCs w:val="0"/>
          <w:lang w:val="en-US" w:eastAsia="zh-CN"/>
        </w:rPr>
        <w:t xml:space="preserve">Regarding Alt 1, the NR sidelink UE either Tx UE or Rx UE can use the LTE sensing and resource reservation information to predict whether the PSFCH slots overlap with the LTE transmission. If it overlaps, the NR sidelink Rx UE aborts the PSFCH transmission, otherwise the NR sidelink Rx UE transmits the PSFCH. For NR sidelink Tx UE, it can avoid selecting resources for PSCCH/PSSCH transmissions whose corresponding PSFCH resources overlap with LTE SL transmissions in the time domain through the sensing and resource reservation information shared by its LTE SL module. </w:t>
      </w:r>
    </w:p>
    <w:p>
      <w:pPr>
        <w:pStyle w:val="61"/>
        <w:numPr>
          <w:ilvl w:val="0"/>
          <w:numId w:val="0"/>
        </w:numPr>
        <w:spacing w:after="120" w:line="240" w:lineRule="auto"/>
        <w:jc w:val="both"/>
        <w:rPr>
          <w:rFonts w:hint="default"/>
          <w:b/>
          <w:bCs/>
          <w:i/>
          <w:iCs/>
          <w:lang w:val="en-US" w:eastAsia="zh-CN"/>
        </w:rPr>
      </w:pPr>
      <w:r>
        <w:rPr>
          <w:rFonts w:hint="eastAsia"/>
          <w:b w:val="0"/>
          <w:bCs w:val="0"/>
          <w:i w:val="0"/>
          <w:iCs w:val="0"/>
          <w:lang w:val="en-US" w:eastAsia="zh-CN"/>
        </w:rPr>
        <w:t xml:space="preserve">Regarding Alt 2, </w:t>
      </w:r>
      <w:r>
        <w:t xml:space="preserve">the NR </w:t>
      </w:r>
      <w:r>
        <w:rPr>
          <w:rFonts w:hint="eastAsia"/>
          <w:lang w:val="en-US" w:eastAsia="zh-CN"/>
        </w:rPr>
        <w:t>sidelink</w:t>
      </w:r>
      <w:r>
        <w:t xml:space="preserve"> UE w</w:t>
      </w:r>
      <w:r>
        <w:rPr>
          <w:rFonts w:hint="eastAsia"/>
          <w:lang w:val="en-US" w:eastAsia="zh-CN"/>
        </w:rPr>
        <w:t>ill</w:t>
      </w:r>
      <w:r>
        <w:t xml:space="preserve"> transmit PSFCH only in</w:t>
      </w:r>
      <w:r>
        <w:rPr>
          <w:rFonts w:hint="eastAsia"/>
          <w:lang w:val="en-US" w:eastAsia="zh-CN"/>
        </w:rPr>
        <w:t xml:space="preserve"> </w:t>
      </w:r>
      <w:r>
        <w:t>slots that are a subset of the full set of periodic PSFCH</w:t>
      </w:r>
      <w:r>
        <w:rPr>
          <w:rFonts w:hint="eastAsia"/>
          <w:lang w:val="en-US" w:eastAsia="zh-CN"/>
        </w:rPr>
        <w:t>-</w:t>
      </w:r>
      <w:r>
        <w:t xml:space="preserve">enabled slots. This subset is </w:t>
      </w:r>
      <w:r>
        <w:rPr>
          <w:rFonts w:hint="eastAsia"/>
          <w:lang w:val="en-US" w:eastAsia="zh-CN"/>
        </w:rPr>
        <w:t>called</w:t>
      </w:r>
      <w:r>
        <w:t xml:space="preserve"> </w:t>
      </w:r>
      <w:r>
        <w:rPr>
          <w:rFonts w:hint="eastAsia"/>
          <w:lang w:val="en-US" w:eastAsia="zh-CN"/>
        </w:rPr>
        <w:t>the</w:t>
      </w:r>
      <w:r>
        <w:t xml:space="preserve"> basic resource set</w:t>
      </w:r>
      <w:r>
        <w:rPr>
          <w:rFonts w:hint="eastAsia"/>
          <w:lang w:val="en-US" w:eastAsia="zh-CN"/>
        </w:rPr>
        <w:t xml:space="preserve"> and</w:t>
      </w:r>
      <w:r>
        <w:t xml:space="preserve"> then repeat</w:t>
      </w:r>
      <w:r>
        <w:rPr>
          <w:rFonts w:hint="eastAsia"/>
          <w:lang w:val="en-US" w:eastAsia="zh-CN"/>
        </w:rPr>
        <w:t>s</w:t>
      </w:r>
      <w:r>
        <w:t xml:space="preserve"> over time. </w:t>
      </w:r>
      <w:r>
        <w:rPr>
          <w:rFonts w:hint="eastAsia"/>
          <w:lang w:val="en-US" w:eastAsia="zh-CN"/>
        </w:rPr>
        <w:t xml:space="preserve">On these basic resource sets, the LTE sidelink UE performs SL RSSI measurements and high RSSI will be detected on these subframes, thus preventing them from being used for their own transmissions. However, there is no guarantee that the ranking based on SL RSSI measurements will help the LTE sidelink module to identify the slots with PSFCH, since the SL RSSI measurements for NR sidelink slots with only PSFCH transmission (no PSSCH transmission) are not always higher than for slots with PSSCH transmission. </w:t>
      </w:r>
    </w:p>
    <w:p>
      <w:pPr>
        <w:pStyle w:val="61"/>
        <w:numPr>
          <w:ilvl w:val="0"/>
          <w:numId w:val="0"/>
        </w:numPr>
        <w:spacing w:after="120" w:line="240" w:lineRule="auto"/>
        <w:jc w:val="both"/>
        <w:rPr>
          <w:rFonts w:hint="default"/>
          <w:lang w:val="en-US" w:eastAsia="zh-CN"/>
        </w:rPr>
      </w:pPr>
      <w:r>
        <w:rPr>
          <w:rFonts w:hint="eastAsia"/>
          <w:b/>
          <w:bCs/>
          <w:i/>
          <w:iCs/>
          <w:lang w:val="en-US" w:eastAsia="zh-CN"/>
        </w:rPr>
        <w:t>Proposal 3:</w:t>
      </w:r>
      <w:r>
        <w:rPr>
          <w:rFonts w:hint="eastAsia"/>
          <w:lang w:val="en-US" w:eastAsia="zh-CN"/>
        </w:rPr>
        <w:t xml:space="preserve"> </w:t>
      </w:r>
      <w:r>
        <w:rPr>
          <w:rFonts w:hint="eastAsia" w:cs="Times New Roman"/>
          <w:b/>
          <w:bCs/>
          <w:i/>
          <w:iCs/>
          <w:sz w:val="22"/>
          <w:szCs w:val="22"/>
          <w:lang w:val="en-US" w:eastAsia="zh-CN" w:bidi="ar-SA"/>
        </w:rPr>
        <w:t xml:space="preserve">If PSFCH is configured in NR sidelink resource pool, the PSFCH transmission in time slots that overlap with subframes used for LTE transmissions should be avoided. </w:t>
      </w:r>
    </w:p>
    <w:p>
      <w:pPr>
        <w:rPr>
          <w:rFonts w:hint="default"/>
          <w:b/>
          <w:i/>
          <w:iCs w:val="0"/>
          <w:strike w:val="0"/>
          <w:dstrike w:val="0"/>
          <w:szCs w:val="20"/>
          <w:lang w:val="en-US" w:eastAsia="zh-CN"/>
        </w:rPr>
      </w:pPr>
    </w:p>
    <w:p>
      <w:pPr>
        <w:pStyle w:val="3"/>
        <w:ind w:left="431" w:hanging="431"/>
        <w:rPr>
          <w:rFonts w:hint="eastAsia"/>
          <w:b/>
          <w:i w:val="0"/>
          <w:iCs w:val="0"/>
          <w:strike w:val="0"/>
          <w:dstrike w:val="0"/>
          <w:szCs w:val="28"/>
          <w:lang w:val="en-US" w:eastAsia="zh-CN"/>
        </w:rPr>
      </w:pPr>
      <w:r>
        <w:rPr>
          <w:rFonts w:hint="eastAsia" w:ascii="Times New Roman" w:eastAsia="宋体"/>
          <w:lang w:val="en-US" w:eastAsia="zh-CN"/>
        </w:rPr>
        <w:t>Dynamic</w:t>
      </w:r>
      <w:r>
        <w:rPr>
          <w:rFonts w:hint="default"/>
          <w:lang w:val="en-US" w:eastAsia="zh-CN"/>
        </w:rPr>
        <w:t xml:space="preserve"> resource pool partitioning</w:t>
      </w:r>
      <w:r>
        <w:rPr>
          <w:rFonts w:hint="eastAsia" w:ascii="Times New Roman" w:eastAsia="宋体"/>
          <w:lang w:val="en-US" w:eastAsia="zh-CN"/>
        </w:rPr>
        <w:t xml:space="preserve"> -</w:t>
      </w:r>
      <w:r>
        <w:rPr>
          <w:rFonts w:hint="eastAsia" w:eastAsia="宋体"/>
          <w:lang w:val="en-US" w:eastAsia="zh-CN"/>
        </w:rPr>
        <w:t xml:space="preserve"> Use of LTE sensing</w:t>
      </w:r>
    </w:p>
    <w:p>
      <w:pPr>
        <w:jc w:val="both"/>
        <w:rPr>
          <w:rFonts w:hint="default"/>
          <w:b/>
          <w:i/>
          <w:iCs w:val="0"/>
          <w:strike w:val="0"/>
          <w:dstrike w:val="0"/>
          <w:szCs w:val="20"/>
          <w:lang w:val="en-US" w:eastAsia="zh-CN"/>
        </w:rPr>
      </w:pPr>
      <w:r>
        <w:t xml:space="preserve">A list of parameters that </w:t>
      </w:r>
      <w:r>
        <w:rPr>
          <w:rFonts w:hint="eastAsia"/>
          <w:lang w:val="en-US" w:eastAsia="zh-CN"/>
        </w:rPr>
        <w:t>should</w:t>
      </w:r>
      <w:r>
        <w:t xml:space="preserve"> be shared by the LTE </w:t>
      </w:r>
      <w:r>
        <w:rPr>
          <w:rFonts w:hint="eastAsia"/>
          <w:lang w:val="en-US" w:eastAsia="zh-CN"/>
        </w:rPr>
        <w:t>sidelink</w:t>
      </w:r>
      <w:r>
        <w:t xml:space="preserve"> module has been identified </w:t>
      </w:r>
      <w:r>
        <w:rPr>
          <w:rFonts w:hint="eastAsia"/>
          <w:lang w:val="en-US" w:eastAsia="zh-CN"/>
        </w:rPr>
        <w:t>during the last meeting</w:t>
      </w:r>
      <w:r>
        <w:t xml:space="preserve">, including the time and frequency locations of </w:t>
      </w:r>
      <w:r>
        <w:rPr>
          <w:rFonts w:hint="eastAsia"/>
          <w:lang w:val="en-US" w:eastAsia="zh-CN"/>
        </w:rPr>
        <w:t>LTE transmission, resource reservation periods, SL RSRP and/or SL RSSI measurement results, priority, t</w:t>
      </w:r>
      <w:r>
        <w:rPr>
          <w:rFonts w:ascii="Times New Roman" w:hAnsi="Times New Roman" w:eastAsia="MS Mincho" w:cs="Times New Roman"/>
          <w:sz w:val="22"/>
          <w:szCs w:val="22"/>
          <w:lang w:val="en-US" w:eastAsia="en-US" w:bidi="ar-SA"/>
        </w:rPr>
        <w:t>ime and frequency location of resources used for own LTE SL transmissions</w:t>
      </w:r>
      <w:r>
        <w:rPr>
          <w:rFonts w:hint="eastAsia" w:cs="Times New Roman"/>
          <w:sz w:val="22"/>
          <w:szCs w:val="22"/>
          <w:lang w:val="en-US" w:eastAsia="zh-CN" w:bidi="ar-SA"/>
        </w:rPr>
        <w:t>, c</w:t>
      </w:r>
      <w:r>
        <w:rPr>
          <w:rFonts w:ascii="Times New Roman" w:hAnsi="Times New Roman" w:eastAsia="MS Mincho" w:cs="Times New Roman"/>
          <w:sz w:val="22"/>
          <w:szCs w:val="22"/>
          <w:lang w:val="en-US" w:eastAsia="en-US" w:bidi="ar-SA"/>
        </w:rPr>
        <w:t>andidate resource set S</w:t>
      </w:r>
      <w:r>
        <w:rPr>
          <w:rFonts w:ascii="Times New Roman" w:hAnsi="Times New Roman" w:eastAsia="MS Mincho" w:cs="Times New Roman"/>
          <w:sz w:val="22"/>
          <w:szCs w:val="22"/>
          <w:vertAlign w:val="subscript"/>
          <w:lang w:val="en-US" w:eastAsia="en-US" w:bidi="ar-SA"/>
        </w:rPr>
        <w:t>A</w:t>
      </w:r>
      <w:r>
        <w:rPr>
          <w:rFonts w:ascii="Times New Roman" w:hAnsi="Times New Roman" w:eastAsia="MS Mincho" w:cs="Times New Roman"/>
          <w:sz w:val="22"/>
          <w:szCs w:val="22"/>
          <w:lang w:val="en-US" w:eastAsia="en-US" w:bidi="ar-SA"/>
        </w:rPr>
        <w:t xml:space="preserve"> or S</w:t>
      </w:r>
      <w:r>
        <w:rPr>
          <w:rFonts w:ascii="Times New Roman" w:hAnsi="Times New Roman" w:eastAsia="MS Mincho" w:cs="Times New Roman"/>
          <w:sz w:val="22"/>
          <w:szCs w:val="22"/>
          <w:vertAlign w:val="subscript"/>
          <w:lang w:val="en-US" w:eastAsia="en-US" w:bidi="ar-SA"/>
        </w:rPr>
        <w:t>B</w:t>
      </w:r>
      <w:r>
        <w:rPr>
          <w:rFonts w:hint="eastAsia" w:cs="Times New Roman"/>
          <w:sz w:val="22"/>
          <w:szCs w:val="22"/>
          <w:vertAlign w:val="baseline"/>
          <w:lang w:val="en-US" w:eastAsia="zh-CN" w:bidi="ar-SA"/>
        </w:rPr>
        <w:t>,</w:t>
      </w:r>
      <w:r>
        <w:rPr>
          <w:rFonts w:hint="eastAsia" w:cs="Times New Roman"/>
          <w:sz w:val="22"/>
          <w:szCs w:val="22"/>
          <w:vertAlign w:val="subscript"/>
          <w:lang w:val="en-US" w:eastAsia="zh-CN" w:bidi="ar-SA"/>
        </w:rPr>
        <w:t xml:space="preserve"> </w:t>
      </w:r>
      <w:r>
        <w:rPr>
          <w:rFonts w:hint="eastAsia" w:ascii="Times New Roman" w:hAnsi="Times New Roman" w:eastAsia="MS Mincho" w:cs="Times New Roman"/>
          <w:sz w:val="22"/>
          <w:szCs w:val="22"/>
          <w:lang w:val="en-US" w:eastAsia="en-US" w:bidi="ar-SA"/>
        </w:rPr>
        <w:t>LTE logical subframe</w:t>
      </w:r>
      <w:r>
        <w:rPr>
          <w:rFonts w:ascii="Times New Roman" w:hAnsi="Times New Roman" w:eastAsia="MS Mincho" w:cs="Times New Roman"/>
          <w:sz w:val="22"/>
          <w:szCs w:val="22"/>
          <w:lang w:val="en-US" w:eastAsia="en-US" w:bidi="ar-SA"/>
        </w:rPr>
        <w:t xml:space="preserve"> related information</w:t>
      </w:r>
      <w:r>
        <w:t xml:space="preserve"> and subframes that are not monitored by the LTE </w:t>
      </w:r>
      <w:r>
        <w:rPr>
          <w:rFonts w:hint="eastAsia"/>
          <w:lang w:val="en-US" w:eastAsia="zh-CN"/>
        </w:rPr>
        <w:t>sidelink</w:t>
      </w:r>
      <w:r>
        <w:t xml:space="preserve"> UE due to half-duplex constraints. </w:t>
      </w:r>
      <w:r>
        <w:rPr>
          <w:rFonts w:hint="eastAsia"/>
          <w:lang w:val="en-US" w:eastAsia="zh-CN"/>
        </w:rPr>
        <w:t>Among them, t</w:t>
      </w:r>
      <w:r>
        <w:rPr>
          <w:rFonts w:hint="eastAsia"/>
        </w:rPr>
        <w:t>he parameters</w:t>
      </w:r>
      <w:r>
        <w:rPr>
          <w:rFonts w:hint="eastAsia"/>
          <w:lang w:val="en-US" w:eastAsia="zh-CN"/>
        </w:rPr>
        <w:t xml:space="preserve"> </w:t>
      </w:r>
      <w:r>
        <w:rPr>
          <w:rFonts w:hint="default"/>
          <w:lang w:val="en-US" w:eastAsia="zh-CN"/>
        </w:rPr>
        <w:t>“</w:t>
      </w:r>
      <w:r>
        <w:t xml:space="preserve">the time and frequency locations of </w:t>
      </w:r>
      <w:r>
        <w:rPr>
          <w:rFonts w:hint="eastAsia"/>
          <w:lang w:val="en-US" w:eastAsia="zh-CN"/>
        </w:rPr>
        <w:t>LTE transmission, resource reservation periods, LTE sidelink logic subframe related information</w:t>
      </w:r>
      <w:r>
        <w:rPr>
          <w:rFonts w:hint="default"/>
          <w:lang w:val="en-US" w:eastAsia="zh-CN"/>
        </w:rPr>
        <w:t>”</w:t>
      </w:r>
      <w:r>
        <w:rPr>
          <w:rFonts w:hint="eastAsia"/>
          <w:lang w:val="en-US" w:eastAsia="zh-CN"/>
        </w:rPr>
        <w:t xml:space="preserve"> are used by the LTE sidelink module to </w:t>
      </w:r>
      <w:r>
        <w:rPr>
          <w:rFonts w:hint="eastAsia"/>
        </w:rPr>
        <w:t xml:space="preserve">determine the resources reserved for other LTE </w:t>
      </w:r>
      <w:r>
        <w:rPr>
          <w:rFonts w:hint="eastAsia"/>
          <w:lang w:val="en-US" w:eastAsia="zh-CN"/>
        </w:rPr>
        <w:t>sidelink</w:t>
      </w:r>
      <w:r>
        <w:rPr>
          <w:rFonts w:hint="eastAsia"/>
        </w:rPr>
        <w:t xml:space="preserve"> </w:t>
      </w:r>
      <w:r>
        <w:rPr>
          <w:rFonts w:hint="eastAsia"/>
          <w:lang w:val="en-US" w:eastAsia="zh-CN"/>
        </w:rPr>
        <w:t>UEs. Other parameters such as "SL RSRP and/or SL RSSI measurements, priority" are used by the LTE sidelink module to exclude resources reserved by other LTE sidelink UEs from the available resources. The last parameter "Resources corresponding to half-duplex subframes which are not monitored by the LTE SL UE" can be used to indicate the resources that are not sensed by the LTE sidelink module. In summary, the above parameters are useful for dynamic resource pool sharing. Regarding how and when to</w:t>
      </w:r>
      <w:r>
        <w:t xml:space="preserve"> shar</w:t>
      </w:r>
      <w:r>
        <w:rPr>
          <w:rFonts w:hint="eastAsia"/>
          <w:lang w:val="en-US" w:eastAsia="zh-CN"/>
        </w:rPr>
        <w:t>e these sensing and resource reservation information, that</w:t>
      </w:r>
      <w:r>
        <w:t xml:space="preserve"> can be </w:t>
      </w:r>
      <w:r>
        <w:rPr>
          <w:rFonts w:hint="eastAsia"/>
          <w:lang w:val="en-US" w:eastAsia="zh-CN"/>
        </w:rPr>
        <w:t>left for implementation</w:t>
      </w:r>
      <w:r>
        <w:t xml:space="preserve">. </w:t>
      </w:r>
    </w:p>
    <w:p>
      <w:pPr>
        <w:pStyle w:val="61"/>
        <w:numPr>
          <w:ilvl w:val="0"/>
          <w:numId w:val="0"/>
        </w:numPr>
        <w:ind w:leftChars="0"/>
        <w:jc w:val="both"/>
        <w:rPr>
          <w:rFonts w:hint="eastAsia"/>
          <w:b/>
          <w:i/>
          <w:iCs w:val="0"/>
          <w:strike w:val="0"/>
          <w:dstrike w:val="0"/>
          <w:szCs w:val="20"/>
          <w:lang w:val="en-US" w:eastAsia="zh-CN"/>
        </w:rPr>
      </w:pPr>
      <w:r>
        <w:rPr>
          <w:rFonts w:hint="eastAsia"/>
          <w:b/>
          <w:i/>
          <w:iCs w:val="0"/>
          <w:strike w:val="0"/>
          <w:dstrike w:val="0"/>
          <w:szCs w:val="20"/>
          <w:lang w:val="en-US" w:eastAsia="zh-CN"/>
        </w:rPr>
        <w:t>Proposal 4: For co-channel coexistence in Rel-18, for the study of dynamic resource pool sharing, the information shared by the LTE SL module to the NR SL module contains at least the following parameters:</w:t>
      </w:r>
    </w:p>
    <w:p>
      <w:pPr>
        <w:pStyle w:val="61"/>
        <w:numPr>
          <w:ilvl w:val="0"/>
          <w:numId w:val="14"/>
        </w:numPr>
        <w:ind w:left="84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LTE sensing results include</w:t>
      </w:r>
    </w:p>
    <w:p>
      <w:pPr>
        <w:pStyle w:val="61"/>
        <w:numPr>
          <w:ilvl w:val="0"/>
          <w:numId w:val="15"/>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Time and frequency locations of LTE transmissions</w:t>
      </w:r>
    </w:p>
    <w:p>
      <w:pPr>
        <w:pStyle w:val="61"/>
        <w:numPr>
          <w:ilvl w:val="0"/>
          <w:numId w:val="15"/>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Resource reservation periods</w:t>
      </w:r>
    </w:p>
    <w:p>
      <w:pPr>
        <w:pStyle w:val="61"/>
        <w:numPr>
          <w:ilvl w:val="0"/>
          <w:numId w:val="15"/>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SL RSRP and/or SL RSSI measurement results</w:t>
      </w:r>
    </w:p>
    <w:p>
      <w:pPr>
        <w:pStyle w:val="61"/>
        <w:numPr>
          <w:ilvl w:val="0"/>
          <w:numId w:val="15"/>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Priority</w:t>
      </w:r>
    </w:p>
    <w:p>
      <w:pPr>
        <w:pStyle w:val="61"/>
        <w:numPr>
          <w:ilvl w:val="0"/>
          <w:numId w:val="15"/>
        </w:numPr>
        <w:ind w:left="1260" w:leftChars="0" w:hanging="420" w:firstLineChars="0"/>
        <w:jc w:val="both"/>
        <w:rPr>
          <w:rFonts w:hint="default"/>
          <w:b/>
          <w:i/>
          <w:iCs w:val="0"/>
          <w:strike w:val="0"/>
          <w:dstrike w:val="0"/>
          <w:szCs w:val="20"/>
          <w:lang w:val="en-US" w:eastAsia="zh-CN"/>
        </w:rPr>
      </w:pPr>
      <w:r>
        <w:rPr>
          <w:rFonts w:hint="eastAsia"/>
          <w:b/>
          <w:i/>
          <w:iCs/>
          <w:color w:val="auto"/>
          <w:szCs w:val="24"/>
          <w:lang w:val="en-US" w:eastAsia="zh-CN"/>
        </w:rPr>
        <w:t>LTE sidelink logic subframe related information</w:t>
      </w:r>
    </w:p>
    <w:p>
      <w:pPr>
        <w:pStyle w:val="61"/>
        <w:numPr>
          <w:ilvl w:val="0"/>
          <w:numId w:val="15"/>
        </w:numPr>
        <w:ind w:left="1260" w:leftChars="0" w:hanging="420" w:firstLineChars="0"/>
        <w:jc w:val="both"/>
        <w:rPr>
          <w:rFonts w:hint="default"/>
          <w:b/>
          <w:i/>
          <w:iCs w:val="0"/>
          <w:strike w:val="0"/>
          <w:dstrike w:val="0"/>
          <w:szCs w:val="20"/>
          <w:lang w:val="en-US" w:eastAsia="zh-CN"/>
        </w:rPr>
      </w:pPr>
      <w:r>
        <w:rPr>
          <w:rFonts w:ascii="Times New Roman" w:hAnsi="Times New Roman" w:eastAsia="MS Mincho"/>
          <w:b/>
          <w:i/>
          <w:iCs/>
          <w:color w:val="auto"/>
          <w:szCs w:val="24"/>
          <w:lang w:val="en-GB"/>
        </w:rPr>
        <w:t>Resources corresponding to half-duplex subframes which are not monitored by the LTE SL UE.</w:t>
      </w:r>
    </w:p>
    <w:p>
      <w:pPr>
        <w:pStyle w:val="61"/>
        <w:numPr>
          <w:ilvl w:val="0"/>
          <w:numId w:val="0"/>
        </w:numPr>
        <w:spacing w:after="120" w:line="240" w:lineRule="auto"/>
        <w:jc w:val="both"/>
        <w:rPr>
          <w:rFonts w:hint="eastAsia"/>
          <w:b w:val="0"/>
          <w:bCs w:val="0"/>
          <w:i w:val="0"/>
          <w:iCs w:val="0"/>
          <w:lang w:val="en-US" w:eastAsia="zh-CN"/>
        </w:rPr>
      </w:pPr>
    </w:p>
    <w:p>
      <w:pPr>
        <w:pStyle w:val="61"/>
        <w:numPr>
          <w:ilvl w:val="0"/>
          <w:numId w:val="0"/>
        </w:numPr>
        <w:spacing w:after="120" w:line="240" w:lineRule="auto"/>
        <w:jc w:val="both"/>
        <w:rPr>
          <w:rFonts w:hint="eastAsia"/>
          <w:b/>
          <w:i/>
          <w:iCs w:val="0"/>
          <w:strike w:val="0"/>
          <w:dstrike w:val="0"/>
          <w:szCs w:val="20"/>
          <w:lang w:val="en-US" w:eastAsia="zh-CN"/>
        </w:rPr>
      </w:pPr>
      <w:r>
        <w:rPr>
          <w:rFonts w:hint="eastAsia"/>
          <w:b w:val="0"/>
          <w:bCs w:val="0"/>
          <w:i w:val="0"/>
          <w:iCs w:val="0"/>
          <w:lang w:val="en-US" w:eastAsia="zh-CN"/>
        </w:rPr>
        <w:t>A general list of parameters that the LTE SL module can share with the NR SL module was agreed at the last meeting. There seem to be two different thoughts on how the NR SL module can use these parameters. The following proposal [6] was discussed extensively at RAN1#110bis-e meeting, but no consensus was reached.</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overflowPunct/>
              <w:autoSpaceDE/>
              <w:autoSpaceDN/>
              <w:adjustRightInd/>
              <w:spacing w:before="120" w:after="0" w:line="259" w:lineRule="auto"/>
              <w:jc w:val="both"/>
              <w:textAlignment w:val="auto"/>
              <w:rPr>
                <w:rFonts w:ascii="Times New Roman" w:hAnsi="Times New Roman" w:eastAsia="MS Mincho" w:cs="Times New Roman"/>
                <w:b/>
                <w:sz w:val="22"/>
                <w:szCs w:val="24"/>
                <w:lang w:val="en-US" w:eastAsia="en-US" w:bidi="ar-SA"/>
              </w:rPr>
            </w:pPr>
            <w:r>
              <w:rPr>
                <w:rFonts w:ascii="Times New Roman" w:hAnsi="Times New Roman" w:eastAsia="MS Mincho" w:cs="Times New Roman"/>
                <w:b/>
                <w:sz w:val="22"/>
                <w:szCs w:val="24"/>
                <w:lang w:val="en-US" w:eastAsia="en-US" w:bidi="ar-SA"/>
              </w:rPr>
              <w:t>Proposal 1-2 (II):</w:t>
            </w:r>
          </w:p>
          <w:p>
            <w:pPr>
              <w:widowControl w:val="0"/>
              <w:numPr>
                <w:ilvl w:val="0"/>
                <w:numId w:val="11"/>
              </w:numPr>
              <w:overflowPunct/>
              <w:autoSpaceDE/>
              <w:autoSpaceDN/>
              <w:adjustRightInd/>
              <w:spacing w:after="0" w:line="259" w:lineRule="auto"/>
              <w:ind w:left="36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US" w:eastAsia="en-US" w:bidi="ar-SA"/>
              </w:rPr>
              <w:t xml:space="preserve">For dynamic resource pool sharing, </w:t>
            </w:r>
            <w:r>
              <w:rPr>
                <w:rFonts w:ascii="Times New Roman" w:hAnsi="Times New Roman" w:eastAsia="MS Mincho" w:cs="Times New Roman"/>
                <w:b/>
                <w:sz w:val="22"/>
                <w:szCs w:val="22"/>
                <w:lang w:val="en-US" w:eastAsia="en-US" w:bidi="ar-SA"/>
              </w:rPr>
              <w:t>the NR SL module uses</w:t>
            </w:r>
            <w:r>
              <w:rPr>
                <w:rFonts w:ascii="Times New Roman" w:hAnsi="Times New Roman" w:eastAsia="MS Mincho" w:cs="Times New Roman"/>
                <w:sz w:val="22"/>
                <w:szCs w:val="22"/>
                <w:lang w:val="en-US" w:eastAsia="en-US" w:bidi="ar-SA"/>
              </w:rPr>
              <w:t xml:space="preserve"> </w:t>
            </w:r>
            <w:r>
              <w:rPr>
                <w:rFonts w:ascii="Times New Roman" w:hAnsi="Times New Roman" w:eastAsia="MS Mincho" w:cs="Times New Roman"/>
                <w:b/>
                <w:sz w:val="22"/>
                <w:szCs w:val="24"/>
                <w:lang w:val="en-US" w:eastAsia="en-US" w:bidi="ar-SA"/>
              </w:rPr>
              <w:t>the information shared by the LTE SL module to the NR SL module using one of the following alternatives:</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 xml:space="preserve">Alt 1: The LTE SL module provides the NR SL module with the candidate information shared by the LTE SL module (excluding the candidate resource sets </w:t>
            </w:r>
            <w:r>
              <w:rPr>
                <w:rFonts w:ascii="Times New Roman" w:hAnsi="Times New Roman" w:eastAsia="MS Mincho" w:cs="Times New Roman"/>
                <w:b/>
                <w:sz w:val="22"/>
                <w:szCs w:val="22"/>
                <w:lang w:val="en-US" w:eastAsia="en-US" w:bidi="ar-SA"/>
              </w:rPr>
              <w:t>S</w:t>
            </w:r>
            <w:r>
              <w:rPr>
                <w:rFonts w:ascii="Times New Roman" w:hAnsi="Times New Roman" w:eastAsia="MS Mincho" w:cs="Times New Roman"/>
                <w:b/>
                <w:sz w:val="22"/>
                <w:szCs w:val="22"/>
                <w:vertAlign w:val="subscript"/>
                <w:lang w:val="en-US" w:eastAsia="en-US" w:bidi="ar-SA"/>
              </w:rPr>
              <w:t>A</w:t>
            </w:r>
            <w:r>
              <w:rPr>
                <w:rFonts w:ascii="Times New Roman" w:hAnsi="Times New Roman" w:eastAsia="MS Mincho" w:cs="Times New Roman"/>
                <w:b/>
                <w:sz w:val="22"/>
                <w:szCs w:val="22"/>
                <w:lang w:val="en-US" w:eastAsia="en-US" w:bidi="ar-SA"/>
              </w:rPr>
              <w:t xml:space="preserve"> or S</w:t>
            </w:r>
            <w:r>
              <w:rPr>
                <w:rFonts w:ascii="Times New Roman" w:hAnsi="Times New Roman" w:eastAsia="MS Mincho" w:cs="Times New Roman"/>
                <w:b/>
                <w:sz w:val="22"/>
                <w:szCs w:val="22"/>
                <w:vertAlign w:val="subscript"/>
                <w:lang w:val="en-US" w:eastAsia="en-US" w:bidi="ar-SA"/>
              </w:rPr>
              <w:t>B</w:t>
            </w:r>
            <w:r>
              <w:rPr>
                <w:rFonts w:ascii="Times New Roman" w:hAnsi="Times New Roman" w:eastAsia="MS Mincho" w:cs="Times New Roman"/>
                <w:b/>
                <w:sz w:val="22"/>
                <w:szCs w:val="24"/>
                <w:lang w:val="en-GB" w:eastAsia="en-US" w:bidi="ar-SA"/>
              </w:rPr>
              <w:t>)</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The NR SL module identifies resources that are being used and reserved to be used by LTE SL transmissions, as well as resources that have not been monitored by the LTE SL module.</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The NR SL module excludes these identified resources from its own candidate resource set when performing the resource (re)selection procedure.</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The exclusion process is performed in the PHY layer.</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 xml:space="preserve">Alt 2: The LTE SL module provides the NR SL module with the candidate resource sets </w:t>
            </w:r>
            <w:r>
              <w:rPr>
                <w:rFonts w:ascii="Times New Roman" w:hAnsi="Times New Roman" w:eastAsia="MS Mincho" w:cs="Times New Roman"/>
                <w:b/>
                <w:sz w:val="22"/>
                <w:szCs w:val="22"/>
                <w:lang w:val="en-US" w:eastAsia="en-US" w:bidi="ar-SA"/>
              </w:rPr>
              <w:t>S</w:t>
            </w:r>
            <w:r>
              <w:rPr>
                <w:rFonts w:ascii="Times New Roman" w:hAnsi="Times New Roman" w:eastAsia="MS Mincho" w:cs="Times New Roman"/>
                <w:b/>
                <w:sz w:val="22"/>
                <w:szCs w:val="22"/>
                <w:vertAlign w:val="subscript"/>
                <w:lang w:val="en-US" w:eastAsia="en-US" w:bidi="ar-SA"/>
              </w:rPr>
              <w:t>A</w:t>
            </w:r>
            <w:r>
              <w:rPr>
                <w:rFonts w:ascii="Times New Roman" w:hAnsi="Times New Roman" w:eastAsia="MS Mincho" w:cs="Times New Roman"/>
                <w:b/>
                <w:sz w:val="22"/>
                <w:szCs w:val="22"/>
                <w:lang w:val="en-US" w:eastAsia="en-US" w:bidi="ar-SA"/>
              </w:rPr>
              <w:t xml:space="preserve"> or S</w:t>
            </w:r>
            <w:r>
              <w:rPr>
                <w:rFonts w:ascii="Times New Roman" w:hAnsi="Times New Roman" w:eastAsia="MS Mincho" w:cs="Times New Roman"/>
                <w:b/>
                <w:sz w:val="22"/>
                <w:szCs w:val="22"/>
                <w:vertAlign w:val="subscript"/>
                <w:lang w:val="en-US" w:eastAsia="en-US" w:bidi="ar-SA"/>
              </w:rPr>
              <w:t xml:space="preserve">B </w:t>
            </w:r>
            <w:r>
              <w:rPr>
                <w:rFonts w:ascii="Times New Roman" w:hAnsi="Times New Roman" w:eastAsia="MS Mincho" w:cs="Times New Roman"/>
                <w:b/>
                <w:sz w:val="22"/>
                <w:szCs w:val="24"/>
                <w:lang w:val="en-GB" w:eastAsia="en-US" w:bidi="ar-SA"/>
              </w:rPr>
              <w:t>shared by the LTE SL module</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The NR SL module provides information, such as the resource selection window and transmission priority of the intended NR SL transmission, to the LTE SL module for generating the candidate resource sets.</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The NR SL module performs an intersection operation with the candidate resource set received from the LTE SL module and the candidate resource set generated by the NR SL module.</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The intersection operation is performed in the MAC layer.</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FFS:</w:t>
            </w:r>
          </w:p>
          <w:p>
            <w:pPr>
              <w:widowControl w:val="0"/>
              <w:rPr>
                <w:rFonts w:hint="default"/>
                <w:b/>
                <w:i/>
                <w:iCs w:val="0"/>
                <w:strike w:val="0"/>
                <w:dstrike w:val="0"/>
                <w:szCs w:val="20"/>
                <w:vertAlign w:val="baseline"/>
                <w:lang w:val="en-US" w:eastAsia="zh-CN"/>
              </w:rPr>
            </w:pPr>
            <w:r>
              <w:rPr>
                <w:rFonts w:ascii="Times New Roman" w:hAnsi="Times New Roman" w:eastAsia="MS Mincho" w:cs="Times New Roman"/>
                <w:b/>
                <w:sz w:val="22"/>
                <w:szCs w:val="24"/>
                <w:lang w:val="en-GB" w:eastAsia="en-US" w:bidi="ar-SA"/>
              </w:rPr>
              <w:t>Details of the information provided by the NR SL module to the LTE SL module.</w:t>
            </w:r>
          </w:p>
        </w:tc>
      </w:tr>
    </w:tbl>
    <w:p>
      <w:pPr>
        <w:rPr>
          <w:rFonts w:hint="default"/>
          <w:b/>
          <w:i/>
          <w:iCs w:val="0"/>
          <w:strike w:val="0"/>
          <w:dstrike w:val="0"/>
          <w:szCs w:val="20"/>
          <w:lang w:val="en-US" w:eastAsia="zh-CN"/>
        </w:rPr>
      </w:pPr>
    </w:p>
    <w:p>
      <w:pPr>
        <w:rPr>
          <w:rFonts w:hint="default" w:eastAsia="宋体"/>
          <w:sz w:val="22"/>
          <w:szCs w:val="22"/>
          <w:lang w:val="en-US" w:eastAsia="zh-CN"/>
        </w:rPr>
      </w:pPr>
      <w:r>
        <w:rPr>
          <w:rFonts w:hint="eastAsia" w:eastAsia="宋体"/>
          <w:sz w:val="22"/>
          <w:szCs w:val="22"/>
          <w:lang w:eastAsia="zh-CN"/>
        </w:rPr>
        <w:t>Regarding Alt 2, it requires changes to the LTE specification, both at the physical layer and at the high l</w:t>
      </w:r>
      <w:r>
        <w:rPr>
          <w:rFonts w:hint="eastAsia" w:eastAsia="宋体"/>
          <w:sz w:val="22"/>
          <w:szCs w:val="22"/>
          <w:lang w:val="en-US" w:eastAsia="zh-CN"/>
        </w:rPr>
        <w:t>ayer</w:t>
      </w:r>
      <w:r>
        <w:rPr>
          <w:rFonts w:hint="eastAsia" w:eastAsia="宋体"/>
          <w:sz w:val="22"/>
          <w:szCs w:val="22"/>
          <w:lang w:eastAsia="zh-CN"/>
        </w:rPr>
        <w:t xml:space="preserve">, which </w:t>
      </w:r>
      <w:r>
        <w:rPr>
          <w:rFonts w:hint="eastAsia"/>
          <w:sz w:val="22"/>
          <w:szCs w:val="22"/>
          <w:highlight w:val="none"/>
          <w:lang w:val="en-US" w:eastAsia="zh-CN"/>
        </w:rPr>
        <w:t>are</w:t>
      </w:r>
      <w:r>
        <w:rPr>
          <w:rFonts w:hint="eastAsia" w:eastAsia="宋体"/>
          <w:sz w:val="22"/>
          <w:szCs w:val="22"/>
          <w:lang w:eastAsia="zh-CN"/>
        </w:rPr>
        <w:t xml:space="preserve"> not desirable.</w:t>
      </w:r>
      <w:r>
        <w:rPr>
          <w:rFonts w:hint="eastAsia" w:eastAsia="宋体"/>
          <w:sz w:val="22"/>
          <w:szCs w:val="22"/>
          <w:lang w:val="en-US" w:eastAsia="zh-CN"/>
        </w:rPr>
        <w:t xml:space="preserve"> For example, in the current LTE specification, the resource selection window is determined based on the UE implementation with a specific range, but in Alt 2, it is indicated by the NR SL module. Similar specification changes may be needed at high layer in terms of how to implement the value of priority. Moreover, f</w:t>
      </w:r>
      <w:r>
        <w:rPr>
          <w:rFonts w:hint="eastAsia"/>
          <w:sz w:val="22"/>
          <w:szCs w:val="22"/>
        </w:rPr>
        <w:t xml:space="preserve">or LTE SL module to perform resource selection, the Tx data </w:t>
      </w:r>
      <w:bookmarkStart w:id="4" w:name="OLE_LINK1"/>
      <w:r>
        <w:rPr>
          <w:rFonts w:hint="eastAsia"/>
          <w:sz w:val="22"/>
          <w:szCs w:val="22"/>
        </w:rPr>
        <w:t>period</w:t>
      </w:r>
      <w:r>
        <w:rPr>
          <w:rFonts w:hint="eastAsia"/>
          <w:sz w:val="22"/>
          <w:szCs w:val="22"/>
          <w:lang w:val="en-US" w:eastAsia="zh-CN"/>
        </w:rPr>
        <w:t>icity</w:t>
      </w:r>
      <w:bookmarkEnd w:id="4"/>
      <w:r>
        <w:rPr>
          <w:rFonts w:hint="eastAsia"/>
          <w:sz w:val="22"/>
          <w:szCs w:val="22"/>
        </w:rPr>
        <w:t xml:space="preserve"> (P_{rsvp_TX}) is required. However, the period</w:t>
      </w:r>
      <w:r>
        <w:rPr>
          <w:rFonts w:hint="eastAsia"/>
          <w:sz w:val="22"/>
          <w:szCs w:val="22"/>
          <w:lang w:val="en-US" w:eastAsia="zh-CN"/>
        </w:rPr>
        <w:t>icity</w:t>
      </w:r>
      <w:r>
        <w:rPr>
          <w:rFonts w:hint="eastAsia"/>
          <w:sz w:val="22"/>
          <w:szCs w:val="22"/>
        </w:rPr>
        <w:t xml:space="preserve"> supported by the NR SL resource pool configuration are most likely not supported in the LTE SL resource pool configuration. Therefore LTE SL modules may not be able to use these </w:t>
      </w:r>
      <w:r>
        <w:rPr>
          <w:rFonts w:hint="eastAsia"/>
          <w:sz w:val="22"/>
          <w:szCs w:val="22"/>
          <w:lang w:val="en-US" w:eastAsia="zh-CN"/>
        </w:rPr>
        <w:t xml:space="preserve">parameters of periodicity. Another issue is how the NR SL module handles the situation where there are not enough resources available in the candidate resource set after a intersection operation. </w:t>
      </w:r>
    </w:p>
    <w:p>
      <w:pPr>
        <w:numPr>
          <w:ilvl w:val="0"/>
          <w:numId w:val="0"/>
        </w:numPr>
        <w:overflowPunct/>
        <w:autoSpaceDE/>
        <w:autoSpaceDN/>
        <w:adjustRightInd/>
        <w:spacing w:after="0" w:line="259" w:lineRule="auto"/>
        <w:jc w:val="both"/>
        <w:textAlignment w:val="auto"/>
        <w:rPr>
          <w:rFonts w:ascii="Times New Roman" w:hAnsi="Times New Roman" w:eastAsia="MS Mincho" w:cs="Times New Roman"/>
          <w:b/>
          <w:bCs/>
          <w:i/>
          <w:iCs/>
          <w:sz w:val="22"/>
          <w:szCs w:val="24"/>
          <w:lang w:val="en-GB" w:eastAsia="en-US" w:bidi="ar-SA"/>
        </w:rPr>
      </w:pPr>
      <w:r>
        <w:rPr>
          <w:rFonts w:hint="eastAsia" w:eastAsia="宋体"/>
          <w:b/>
          <w:bCs/>
          <w:i/>
          <w:iCs/>
          <w:sz w:val="22"/>
          <w:szCs w:val="22"/>
          <w:lang w:val="en-US" w:eastAsia="zh-CN"/>
        </w:rPr>
        <w:t xml:space="preserve">Proposal 5: </w:t>
      </w:r>
      <w:r>
        <w:rPr>
          <w:rFonts w:ascii="Times New Roman" w:hAnsi="Times New Roman" w:eastAsia="MS Mincho" w:cs="Times New Roman"/>
          <w:b/>
          <w:bCs/>
          <w:i/>
          <w:iCs/>
          <w:sz w:val="22"/>
          <w:szCs w:val="24"/>
          <w:lang w:val="en-GB" w:eastAsia="en-US" w:bidi="ar-SA"/>
        </w:rPr>
        <w:t xml:space="preserve">The LTE SL module provides the NR SL module with the candidate information shared by the LTE SL module (excluding the candidate resource sets </w:t>
      </w:r>
      <w:r>
        <w:rPr>
          <w:rFonts w:ascii="Times New Roman" w:hAnsi="Times New Roman" w:eastAsia="MS Mincho" w:cs="Times New Roman"/>
          <w:b/>
          <w:bCs/>
          <w:i/>
          <w:iCs/>
          <w:sz w:val="22"/>
          <w:szCs w:val="22"/>
          <w:lang w:val="en-US" w:eastAsia="en-US" w:bidi="ar-SA"/>
        </w:rPr>
        <w:t>S</w:t>
      </w:r>
      <w:r>
        <w:rPr>
          <w:rFonts w:ascii="Times New Roman" w:hAnsi="Times New Roman" w:eastAsia="MS Mincho" w:cs="Times New Roman"/>
          <w:b/>
          <w:bCs/>
          <w:i/>
          <w:iCs/>
          <w:sz w:val="22"/>
          <w:szCs w:val="22"/>
          <w:vertAlign w:val="subscript"/>
          <w:lang w:val="en-US" w:eastAsia="en-US" w:bidi="ar-SA"/>
        </w:rPr>
        <w:t>A</w:t>
      </w:r>
      <w:r>
        <w:rPr>
          <w:rFonts w:ascii="Times New Roman" w:hAnsi="Times New Roman" w:eastAsia="MS Mincho" w:cs="Times New Roman"/>
          <w:b/>
          <w:bCs/>
          <w:i/>
          <w:iCs/>
          <w:sz w:val="22"/>
          <w:szCs w:val="22"/>
          <w:lang w:val="en-US" w:eastAsia="en-US" w:bidi="ar-SA"/>
        </w:rPr>
        <w:t xml:space="preserve"> or S</w:t>
      </w:r>
      <w:r>
        <w:rPr>
          <w:rFonts w:ascii="Times New Roman" w:hAnsi="Times New Roman" w:eastAsia="MS Mincho" w:cs="Times New Roman"/>
          <w:b/>
          <w:bCs/>
          <w:i/>
          <w:iCs/>
          <w:sz w:val="22"/>
          <w:szCs w:val="22"/>
          <w:vertAlign w:val="subscript"/>
          <w:lang w:val="en-US" w:eastAsia="en-US" w:bidi="ar-SA"/>
        </w:rPr>
        <w:t>B</w:t>
      </w:r>
      <w:r>
        <w:rPr>
          <w:rFonts w:ascii="Times New Roman" w:hAnsi="Times New Roman" w:eastAsia="MS Mincho" w:cs="Times New Roman"/>
          <w:b/>
          <w:bCs/>
          <w:i/>
          <w:iCs/>
          <w:sz w:val="22"/>
          <w:szCs w:val="24"/>
          <w:lang w:val="en-GB" w:eastAsia="en-US" w:bidi="ar-SA"/>
        </w:rPr>
        <w:t>)</w:t>
      </w:r>
    </w:p>
    <w:p>
      <w:pPr>
        <w:numPr>
          <w:ilvl w:val="0"/>
          <w:numId w:val="16"/>
        </w:numPr>
        <w:overflowPunct/>
        <w:autoSpaceDE/>
        <w:autoSpaceDN/>
        <w:adjustRightInd/>
        <w:spacing w:after="0" w:line="259" w:lineRule="auto"/>
        <w:ind w:left="420" w:leftChars="0" w:hanging="420" w:firstLineChars="0"/>
        <w:jc w:val="both"/>
        <w:textAlignment w:val="auto"/>
        <w:rPr>
          <w:rFonts w:ascii="Times New Roman" w:hAnsi="Times New Roman" w:eastAsia="MS Mincho" w:cs="Times New Roman"/>
          <w:b/>
          <w:bCs/>
          <w:i/>
          <w:iCs/>
          <w:sz w:val="22"/>
          <w:szCs w:val="24"/>
          <w:lang w:val="en-GB" w:eastAsia="en-US" w:bidi="ar-SA"/>
        </w:rPr>
      </w:pPr>
      <w:r>
        <w:rPr>
          <w:rFonts w:ascii="Times New Roman" w:hAnsi="Times New Roman" w:eastAsia="MS Mincho" w:cs="Times New Roman"/>
          <w:b/>
          <w:bCs/>
          <w:i/>
          <w:iCs/>
          <w:sz w:val="22"/>
          <w:szCs w:val="24"/>
          <w:lang w:val="en-GB" w:eastAsia="en-US" w:bidi="ar-SA"/>
        </w:rPr>
        <w:t>The NR SL module identifies resources that are being used and reserved to be used by LTE SL transmissions, as well as resources that have not been monitored by the LTE SL module.</w:t>
      </w:r>
    </w:p>
    <w:p>
      <w:pPr>
        <w:rPr>
          <w:rFonts w:hint="default" w:eastAsia="宋体"/>
          <w:sz w:val="22"/>
          <w:szCs w:val="22"/>
          <w:lang w:val="en-US" w:eastAsia="zh-CN"/>
        </w:rPr>
      </w:pPr>
    </w:p>
    <w:p>
      <w:pPr>
        <w:pStyle w:val="2"/>
      </w:pPr>
      <w:r>
        <w:t>Conclusion</w:t>
      </w:r>
    </w:p>
    <w:p>
      <w:pPr>
        <w:rPr>
          <w:rFonts w:hint="eastAsia" w:eastAsia="宋体"/>
          <w:lang w:val="en-US" w:eastAsia="zh-CN"/>
        </w:rPr>
      </w:pPr>
      <w:r>
        <w:t>In this contribution, we have discussed</w:t>
      </w:r>
      <w:r>
        <w:rPr>
          <w:rFonts w:hint="eastAsia"/>
          <w:bCs/>
          <w:lang w:val="en-US" w:eastAsia="zh-CN"/>
        </w:rPr>
        <w:t xml:space="preserve"> </w:t>
      </w:r>
      <w:r>
        <w:rPr>
          <w:rFonts w:hint="eastAsia"/>
          <w:lang w:val="en-US" w:eastAsia="zh-CN"/>
        </w:rPr>
        <w:t>the co-channel coexistence for LTE sidelink and NR sidelink</w:t>
      </w:r>
      <w:r>
        <w:rPr>
          <w:rFonts w:hint="eastAsia"/>
          <w:bCs/>
          <w:lang w:val="en-US" w:eastAsia="zh-CN"/>
        </w:rPr>
        <w:t>, including the type of device, the combination of operations modes and the solution of resource partitioning</w:t>
      </w:r>
      <w:r>
        <w:t>.</w:t>
      </w:r>
      <w:bookmarkStart w:id="5" w:name="OLE_LINK39"/>
      <w:bookmarkStart w:id="6" w:name="OLE_LINK4"/>
      <w:bookmarkStart w:id="7" w:name="OLE_LINK6"/>
      <w:bookmarkStart w:id="8" w:name="OLE_LINK40"/>
      <w:bookmarkStart w:id="9" w:name="OLE_LINK3"/>
      <w:bookmarkStart w:id="10" w:name="OLE_LINK5"/>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pStyle w:val="61"/>
        <w:numPr>
          <w:ilvl w:val="0"/>
          <w:numId w:val="0"/>
        </w:numPr>
        <w:spacing w:after="120" w:line="240" w:lineRule="auto"/>
        <w:jc w:val="both"/>
        <w:rPr>
          <w:rFonts w:hint="eastAsia" w:ascii="Times New Roman" w:hAnsi="Times New Roman" w:eastAsia="宋体" w:cs="Times New Roman"/>
          <w:b/>
          <w:bCs/>
          <w:i/>
          <w:iCs/>
          <w:sz w:val="22"/>
          <w:szCs w:val="22"/>
          <w:lang w:val="en-US" w:eastAsia="zh-CN" w:bidi="ar-SA"/>
        </w:rPr>
      </w:pPr>
      <w:r>
        <w:rPr>
          <w:rFonts w:hint="eastAsia"/>
          <w:b/>
          <w:bCs/>
          <w:i/>
          <w:iCs/>
          <w:lang w:val="en-US" w:eastAsia="zh-CN"/>
        </w:rPr>
        <w:t>Proposal 1: F</w:t>
      </w:r>
      <w:r>
        <w:rPr>
          <w:rFonts w:hint="eastAsia" w:cs="Times New Roman"/>
          <w:b/>
          <w:bCs/>
          <w:i/>
          <w:iCs/>
          <w:sz w:val="22"/>
          <w:szCs w:val="22"/>
          <w:lang w:val="en-US" w:eastAsia="zh-CN" w:bidi="ar-SA"/>
        </w:rPr>
        <w:t>or co-channel coexistence in Rel-18, NR sidelink resource pool can be configured with 30 kHz SCS</w:t>
      </w:r>
      <w:r>
        <w:rPr>
          <w:rFonts w:hint="eastAsia" w:ascii="Times New Roman" w:hAnsi="Times New Roman" w:eastAsia="宋体" w:cs="Times New Roman"/>
          <w:b/>
          <w:bCs/>
          <w:i/>
          <w:iCs/>
          <w:sz w:val="22"/>
          <w:szCs w:val="22"/>
          <w:lang w:val="en-US" w:eastAsia="zh-CN" w:bidi="ar-SA"/>
        </w:rPr>
        <w:t>.</w:t>
      </w:r>
    </w:p>
    <w:p>
      <w:pPr>
        <w:pStyle w:val="61"/>
        <w:numPr>
          <w:ilvl w:val="0"/>
          <w:numId w:val="0"/>
        </w:numPr>
        <w:spacing w:after="120" w:line="240" w:lineRule="auto"/>
        <w:jc w:val="both"/>
        <w:rPr>
          <w:rFonts w:hint="default" w:ascii="Times New Roman" w:hAnsi="Times New Roman" w:eastAsia="宋体" w:cs="Times New Roman"/>
          <w:b/>
          <w:bCs/>
          <w:i/>
          <w:iCs/>
          <w:sz w:val="22"/>
          <w:szCs w:val="22"/>
          <w:lang w:val="en-US" w:eastAsia="zh-CN" w:bidi="ar-SA"/>
        </w:rPr>
      </w:pPr>
      <w:r>
        <w:rPr>
          <w:rFonts w:hint="eastAsia" w:cs="Times New Roman"/>
          <w:b/>
          <w:bCs/>
          <w:i/>
          <w:iCs/>
          <w:sz w:val="22"/>
          <w:szCs w:val="22"/>
          <w:lang w:val="en-US" w:eastAsia="zh-CN" w:bidi="ar-SA"/>
        </w:rPr>
        <w:t>Proposal 2: NR SL UE uses the information shared by the LTE SL module in its own resource selection procedure to exclude slots overlapping with LTE SL transmissions.</w:t>
      </w:r>
    </w:p>
    <w:p>
      <w:pPr>
        <w:pStyle w:val="61"/>
        <w:numPr>
          <w:ilvl w:val="0"/>
          <w:numId w:val="0"/>
        </w:numPr>
        <w:spacing w:after="120" w:line="240" w:lineRule="auto"/>
        <w:jc w:val="both"/>
        <w:rPr>
          <w:rFonts w:hint="default"/>
          <w:lang w:val="en-US" w:eastAsia="zh-CN"/>
        </w:rPr>
      </w:pPr>
      <w:r>
        <w:rPr>
          <w:rFonts w:hint="eastAsia"/>
          <w:b/>
          <w:bCs/>
          <w:i/>
          <w:iCs/>
          <w:lang w:val="en-US" w:eastAsia="zh-CN"/>
        </w:rPr>
        <w:t>Proposal 3:</w:t>
      </w:r>
      <w:r>
        <w:rPr>
          <w:rFonts w:hint="eastAsia"/>
          <w:lang w:val="en-US" w:eastAsia="zh-CN"/>
        </w:rPr>
        <w:t xml:space="preserve"> </w:t>
      </w:r>
      <w:r>
        <w:rPr>
          <w:rFonts w:hint="eastAsia" w:cs="Times New Roman"/>
          <w:b/>
          <w:bCs/>
          <w:i/>
          <w:iCs/>
          <w:sz w:val="22"/>
          <w:szCs w:val="22"/>
          <w:lang w:val="en-US" w:eastAsia="zh-CN" w:bidi="ar-SA"/>
        </w:rPr>
        <w:t xml:space="preserve">If PSFCH is configured in NR sidelink resource pool, the PSFCH transmission in time slots that overlap with subframes used for LTE transmissions should be avoided. </w:t>
      </w:r>
    </w:p>
    <w:p>
      <w:pPr>
        <w:pStyle w:val="61"/>
        <w:numPr>
          <w:ilvl w:val="0"/>
          <w:numId w:val="0"/>
        </w:numPr>
        <w:ind w:leftChars="0"/>
        <w:jc w:val="both"/>
        <w:rPr>
          <w:rFonts w:hint="eastAsia"/>
          <w:b/>
          <w:i/>
          <w:iCs w:val="0"/>
          <w:strike w:val="0"/>
          <w:dstrike w:val="0"/>
          <w:szCs w:val="20"/>
          <w:lang w:val="en-US" w:eastAsia="zh-CN"/>
        </w:rPr>
      </w:pPr>
      <w:r>
        <w:rPr>
          <w:rFonts w:hint="eastAsia"/>
          <w:b/>
          <w:i/>
          <w:iCs w:val="0"/>
          <w:strike w:val="0"/>
          <w:dstrike w:val="0"/>
          <w:szCs w:val="20"/>
          <w:lang w:val="en-US" w:eastAsia="zh-CN"/>
        </w:rPr>
        <w:t>Proposal 4: For co-channel coexistence in Rel-18, for the study of dynamic resource pool sharing, the information shared by the LTE SL module to the NR SL module contains at least the following parameters:</w:t>
      </w:r>
    </w:p>
    <w:p>
      <w:pPr>
        <w:pStyle w:val="61"/>
        <w:numPr>
          <w:ilvl w:val="0"/>
          <w:numId w:val="14"/>
        </w:numPr>
        <w:ind w:left="84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LTE sensing results may include</w:t>
      </w:r>
    </w:p>
    <w:p>
      <w:pPr>
        <w:pStyle w:val="61"/>
        <w:numPr>
          <w:ilvl w:val="0"/>
          <w:numId w:val="15"/>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Time and frequency locations of LTE transmissions</w:t>
      </w:r>
    </w:p>
    <w:p>
      <w:pPr>
        <w:pStyle w:val="61"/>
        <w:numPr>
          <w:ilvl w:val="0"/>
          <w:numId w:val="15"/>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Resource reservation periods</w:t>
      </w:r>
    </w:p>
    <w:p>
      <w:pPr>
        <w:pStyle w:val="61"/>
        <w:numPr>
          <w:ilvl w:val="0"/>
          <w:numId w:val="15"/>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SL RSRP and/or SL RSSI measurement results</w:t>
      </w:r>
    </w:p>
    <w:p>
      <w:pPr>
        <w:pStyle w:val="61"/>
        <w:numPr>
          <w:ilvl w:val="0"/>
          <w:numId w:val="15"/>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Priority</w:t>
      </w:r>
    </w:p>
    <w:p>
      <w:pPr>
        <w:pStyle w:val="61"/>
        <w:numPr>
          <w:ilvl w:val="0"/>
          <w:numId w:val="15"/>
        </w:numPr>
        <w:ind w:left="1260" w:leftChars="0" w:hanging="420" w:firstLineChars="0"/>
        <w:jc w:val="both"/>
        <w:rPr>
          <w:rFonts w:ascii="Times New Roman" w:hAnsi="Times New Roman" w:eastAsia="MS Mincho"/>
          <w:b/>
          <w:i/>
          <w:iCs/>
          <w:color w:val="auto"/>
          <w:szCs w:val="24"/>
          <w:lang w:val="en-GB"/>
        </w:rPr>
      </w:pPr>
      <w:r>
        <w:rPr>
          <w:rFonts w:hint="eastAsia"/>
          <w:b/>
          <w:i/>
          <w:iCs/>
          <w:color w:val="auto"/>
          <w:szCs w:val="24"/>
          <w:lang w:val="en-US" w:eastAsia="zh-CN"/>
        </w:rPr>
        <w:t>LTE sidelink logic subframe related information</w:t>
      </w:r>
    </w:p>
    <w:p>
      <w:pPr>
        <w:pStyle w:val="61"/>
        <w:numPr>
          <w:ilvl w:val="0"/>
          <w:numId w:val="15"/>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Resources corresponding to half-duplex subframes which are not monitored by the LTE SL UE.</w:t>
      </w:r>
    </w:p>
    <w:p>
      <w:pPr>
        <w:numPr>
          <w:ilvl w:val="0"/>
          <w:numId w:val="0"/>
        </w:numPr>
        <w:overflowPunct/>
        <w:autoSpaceDE/>
        <w:autoSpaceDN/>
        <w:adjustRightInd/>
        <w:spacing w:after="0" w:line="259" w:lineRule="auto"/>
        <w:jc w:val="both"/>
        <w:textAlignment w:val="auto"/>
        <w:rPr>
          <w:rFonts w:ascii="Times New Roman" w:hAnsi="Times New Roman" w:eastAsia="MS Mincho" w:cs="Times New Roman"/>
          <w:b/>
          <w:bCs/>
          <w:i/>
          <w:iCs/>
          <w:sz w:val="22"/>
          <w:szCs w:val="24"/>
          <w:lang w:val="en-GB" w:eastAsia="en-US" w:bidi="ar-SA"/>
        </w:rPr>
      </w:pPr>
      <w:r>
        <w:rPr>
          <w:rFonts w:hint="eastAsia" w:eastAsia="宋体"/>
          <w:b/>
          <w:bCs/>
          <w:i/>
          <w:iCs/>
          <w:sz w:val="22"/>
          <w:szCs w:val="22"/>
          <w:lang w:val="en-US" w:eastAsia="zh-CN"/>
        </w:rPr>
        <w:t xml:space="preserve">Proposal 5: </w:t>
      </w:r>
      <w:r>
        <w:rPr>
          <w:rFonts w:ascii="Times New Roman" w:hAnsi="Times New Roman" w:eastAsia="MS Mincho" w:cs="Times New Roman"/>
          <w:b/>
          <w:bCs/>
          <w:i/>
          <w:iCs/>
          <w:sz w:val="22"/>
          <w:szCs w:val="24"/>
          <w:lang w:val="en-GB" w:eastAsia="en-US" w:bidi="ar-SA"/>
        </w:rPr>
        <w:t xml:space="preserve">The LTE SL module provides the NR SL module with the candidate information shared by the LTE SL module (excluding the candidate resource sets </w:t>
      </w:r>
      <w:r>
        <w:rPr>
          <w:rFonts w:ascii="Times New Roman" w:hAnsi="Times New Roman" w:eastAsia="MS Mincho" w:cs="Times New Roman"/>
          <w:b/>
          <w:bCs/>
          <w:i/>
          <w:iCs/>
          <w:sz w:val="22"/>
          <w:szCs w:val="22"/>
          <w:lang w:val="en-US" w:eastAsia="en-US" w:bidi="ar-SA"/>
        </w:rPr>
        <w:t>S</w:t>
      </w:r>
      <w:r>
        <w:rPr>
          <w:rFonts w:ascii="Times New Roman" w:hAnsi="Times New Roman" w:eastAsia="MS Mincho" w:cs="Times New Roman"/>
          <w:b/>
          <w:bCs/>
          <w:i/>
          <w:iCs/>
          <w:sz w:val="22"/>
          <w:szCs w:val="22"/>
          <w:vertAlign w:val="subscript"/>
          <w:lang w:val="en-US" w:eastAsia="en-US" w:bidi="ar-SA"/>
        </w:rPr>
        <w:t>A</w:t>
      </w:r>
      <w:r>
        <w:rPr>
          <w:rFonts w:ascii="Times New Roman" w:hAnsi="Times New Roman" w:eastAsia="MS Mincho" w:cs="Times New Roman"/>
          <w:b/>
          <w:bCs/>
          <w:i/>
          <w:iCs/>
          <w:sz w:val="22"/>
          <w:szCs w:val="22"/>
          <w:lang w:val="en-US" w:eastAsia="en-US" w:bidi="ar-SA"/>
        </w:rPr>
        <w:t xml:space="preserve"> or S</w:t>
      </w:r>
      <w:r>
        <w:rPr>
          <w:rFonts w:ascii="Times New Roman" w:hAnsi="Times New Roman" w:eastAsia="MS Mincho" w:cs="Times New Roman"/>
          <w:b/>
          <w:bCs/>
          <w:i/>
          <w:iCs/>
          <w:sz w:val="22"/>
          <w:szCs w:val="22"/>
          <w:vertAlign w:val="subscript"/>
          <w:lang w:val="en-US" w:eastAsia="en-US" w:bidi="ar-SA"/>
        </w:rPr>
        <w:t>B</w:t>
      </w:r>
      <w:r>
        <w:rPr>
          <w:rFonts w:ascii="Times New Roman" w:hAnsi="Times New Roman" w:eastAsia="MS Mincho" w:cs="Times New Roman"/>
          <w:b/>
          <w:bCs/>
          <w:i/>
          <w:iCs/>
          <w:sz w:val="22"/>
          <w:szCs w:val="24"/>
          <w:lang w:val="en-GB" w:eastAsia="en-US" w:bidi="ar-SA"/>
        </w:rPr>
        <w:t>)</w:t>
      </w:r>
    </w:p>
    <w:p>
      <w:pPr>
        <w:numPr>
          <w:ilvl w:val="0"/>
          <w:numId w:val="16"/>
        </w:numPr>
        <w:overflowPunct/>
        <w:autoSpaceDE/>
        <w:autoSpaceDN/>
        <w:adjustRightInd/>
        <w:spacing w:after="0" w:line="259" w:lineRule="auto"/>
        <w:ind w:left="420" w:leftChars="0" w:hanging="420" w:firstLineChars="0"/>
        <w:jc w:val="both"/>
        <w:textAlignment w:val="auto"/>
        <w:rPr>
          <w:rFonts w:ascii="Times New Roman" w:hAnsi="Times New Roman" w:eastAsia="MS Mincho" w:cs="Times New Roman"/>
          <w:b/>
          <w:bCs/>
          <w:i/>
          <w:iCs/>
          <w:sz w:val="22"/>
          <w:szCs w:val="24"/>
          <w:lang w:val="en-GB" w:eastAsia="en-US" w:bidi="ar-SA"/>
        </w:rPr>
      </w:pPr>
      <w:r>
        <w:rPr>
          <w:rFonts w:ascii="Times New Roman" w:hAnsi="Times New Roman" w:eastAsia="MS Mincho" w:cs="Times New Roman"/>
          <w:b/>
          <w:bCs/>
          <w:i/>
          <w:iCs/>
          <w:sz w:val="22"/>
          <w:szCs w:val="24"/>
          <w:lang w:val="en-GB" w:eastAsia="en-US" w:bidi="ar-SA"/>
        </w:rPr>
        <w:t>The NR SL module identifies resources that are being used and reserved to be used by LTE SL transmissions, as well as resources that have not been monitored by the LTE SL module.</w:t>
      </w:r>
    </w:p>
    <w:p>
      <w:pPr>
        <w:rPr>
          <w:rFonts w:hint="default"/>
          <w:b/>
          <w:i/>
          <w:szCs w:val="20"/>
          <w:lang w:val="en-US" w:eastAsia="zh-CN"/>
        </w:rPr>
      </w:pPr>
    </w:p>
    <w:p>
      <w:pPr>
        <w:rPr>
          <w:rFonts w:hint="eastAsia"/>
          <w:b/>
          <w:i/>
          <w:szCs w:val="20"/>
          <w:lang w:val="en-US" w:eastAsia="zh-CN"/>
        </w:rPr>
      </w:pPr>
    </w:p>
    <w:bookmarkEnd w:id="5"/>
    <w:bookmarkEnd w:id="6"/>
    <w:bookmarkEnd w:id="7"/>
    <w:bookmarkEnd w:id="8"/>
    <w:bookmarkEnd w:id="9"/>
    <w:bookmarkEnd w:id="10"/>
    <w:p>
      <w:pPr>
        <w:pStyle w:val="2"/>
      </w:pPr>
      <w:r>
        <w:t>Reference</w:t>
      </w:r>
    </w:p>
    <w:bookmarkEnd w:id="2"/>
    <w:p>
      <w:pPr>
        <w:pStyle w:val="61"/>
        <w:numPr>
          <w:ilvl w:val="0"/>
          <w:numId w:val="17"/>
        </w:numPr>
        <w:ind w:firstLineChars="0"/>
        <w:jc w:val="left"/>
        <w:rPr>
          <w:lang w:eastAsia="zh-CN"/>
        </w:rPr>
      </w:pPr>
      <w:r>
        <w:rPr>
          <w:lang w:eastAsia="zh-CN"/>
        </w:rPr>
        <w:t>R</w:t>
      </w:r>
      <w:r>
        <w:rPr>
          <w:rFonts w:hint="eastAsia"/>
          <w:lang w:val="en-US" w:eastAsia="zh-CN"/>
        </w:rPr>
        <w:t>P-221938</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09</w:t>
      </w:r>
    </w:p>
    <w:p>
      <w:pPr>
        <w:pStyle w:val="61"/>
        <w:numPr>
          <w:ilvl w:val="0"/>
          <w:numId w:val="17"/>
        </w:numPr>
        <w:ind w:firstLineChars="0"/>
        <w:jc w:val="left"/>
        <w:rPr>
          <w:lang w:eastAsia="zh-CN"/>
        </w:rPr>
      </w:pPr>
      <w:r>
        <w:rPr>
          <w:rFonts w:hint="eastAsia"/>
          <w:lang w:eastAsia="zh-CN"/>
        </w:rPr>
        <w:t>Draft_Minutes_report_RAN1#1</w:t>
      </w:r>
      <w:r>
        <w:rPr>
          <w:rFonts w:hint="eastAsia"/>
          <w:lang w:val="en-US" w:eastAsia="zh-CN"/>
        </w:rPr>
        <w:t>10</w:t>
      </w:r>
      <w:r>
        <w:rPr>
          <w:rFonts w:hint="eastAsia"/>
          <w:lang w:eastAsia="zh-CN"/>
        </w:rPr>
        <w:t>_v0</w:t>
      </w:r>
      <w:r>
        <w:rPr>
          <w:rFonts w:hint="eastAsia"/>
          <w:lang w:val="en-US" w:eastAsia="zh-CN"/>
        </w:rPr>
        <w:t>2</w:t>
      </w:r>
      <w:r>
        <w:rPr>
          <w:rFonts w:hint="eastAsia"/>
          <w:lang w:eastAsia="zh-CN"/>
        </w:rPr>
        <w:t>0</w:t>
      </w:r>
      <w:r>
        <w:rPr>
          <w:rFonts w:hint="eastAsia"/>
          <w:lang w:val="en-US" w:eastAsia="zh-CN"/>
        </w:rPr>
        <w:t>, 2022-08</w:t>
      </w:r>
    </w:p>
    <w:p>
      <w:pPr>
        <w:pStyle w:val="61"/>
        <w:numPr>
          <w:ilvl w:val="0"/>
          <w:numId w:val="17"/>
        </w:numPr>
        <w:ind w:firstLineChars="0"/>
        <w:jc w:val="left"/>
        <w:rPr>
          <w:lang w:eastAsia="zh-CN"/>
        </w:rPr>
      </w:pPr>
      <w:r>
        <w:rPr>
          <w:rFonts w:hint="eastAsia"/>
          <w:lang w:val="en-US" w:eastAsia="zh-CN"/>
        </w:rPr>
        <w:t>Draft_Minutes_report_RAN#110bis-e_v010, 2022-10</w:t>
      </w:r>
    </w:p>
    <w:p>
      <w:pPr>
        <w:pStyle w:val="61"/>
        <w:numPr>
          <w:ilvl w:val="0"/>
          <w:numId w:val="17"/>
        </w:numPr>
        <w:ind w:firstLineChars="0"/>
        <w:jc w:val="left"/>
        <w:rPr>
          <w:lang w:eastAsia="zh-CN"/>
        </w:rPr>
      </w:pPr>
      <w:r>
        <w:rPr>
          <w:rFonts w:hint="eastAsia"/>
          <w:lang w:eastAsia="zh-CN"/>
        </w:rPr>
        <w:t>Draft_Minutes_report_RAN1#1</w:t>
      </w:r>
      <w:r>
        <w:rPr>
          <w:rFonts w:hint="eastAsia"/>
          <w:lang w:val="en-US" w:eastAsia="zh-CN"/>
        </w:rPr>
        <w:t>11</w:t>
      </w:r>
      <w:r>
        <w:rPr>
          <w:rFonts w:hint="eastAsia"/>
          <w:lang w:eastAsia="zh-CN"/>
        </w:rPr>
        <w:t>_v0</w:t>
      </w:r>
      <w:r>
        <w:rPr>
          <w:rFonts w:hint="eastAsia"/>
          <w:lang w:val="en-US" w:eastAsia="zh-CN"/>
        </w:rPr>
        <w:t>2</w:t>
      </w:r>
      <w:r>
        <w:rPr>
          <w:rFonts w:hint="eastAsia"/>
          <w:lang w:eastAsia="zh-CN"/>
        </w:rPr>
        <w:t>0</w:t>
      </w:r>
      <w:r>
        <w:rPr>
          <w:rFonts w:hint="eastAsia"/>
          <w:lang w:val="en-US" w:eastAsia="zh-CN"/>
        </w:rPr>
        <w:t>, 2022-11</w:t>
      </w:r>
    </w:p>
    <w:p>
      <w:pPr>
        <w:pStyle w:val="61"/>
        <w:numPr>
          <w:ilvl w:val="0"/>
          <w:numId w:val="17"/>
        </w:numPr>
        <w:ind w:firstLineChars="0"/>
        <w:jc w:val="left"/>
        <w:rPr>
          <w:lang w:eastAsia="zh-CN"/>
        </w:rPr>
      </w:pPr>
      <w:r>
        <w:rPr>
          <w:rFonts w:hint="eastAsia"/>
          <w:lang w:val="en-US" w:eastAsia="zh-CN"/>
        </w:rPr>
        <w:t>R1-2212540</w:t>
      </w:r>
      <w:r>
        <w:rPr>
          <w:rFonts w:hint="eastAsia"/>
          <w:lang w:val="en-US" w:eastAsia="zh-CN"/>
        </w:rPr>
        <w:tab/>
      </w:r>
      <w:r>
        <w:rPr>
          <w:rFonts w:hint="eastAsia"/>
          <w:lang w:val="en-US" w:eastAsia="zh-CN"/>
        </w:rPr>
        <w:tab/>
      </w:r>
      <w:r>
        <w:rPr>
          <w:rFonts w:hint="eastAsia"/>
          <w:lang w:val="en-US" w:eastAsia="zh-CN"/>
        </w:rPr>
        <w:t xml:space="preserve">FL Summary EoM for AI9.4.2, </w:t>
      </w:r>
      <w:r>
        <w:t>Fraunhofer HHI</w:t>
      </w:r>
      <w:r>
        <w:rPr>
          <w:rFonts w:hint="eastAsia"/>
          <w:lang w:val="en-US" w:eastAsia="zh-CN"/>
        </w:rPr>
        <w:t>, 2022-11</w:t>
      </w:r>
    </w:p>
    <w:p>
      <w:pPr>
        <w:pStyle w:val="61"/>
        <w:numPr>
          <w:ilvl w:val="0"/>
          <w:numId w:val="17"/>
        </w:numPr>
        <w:ind w:firstLineChars="0"/>
        <w:jc w:val="left"/>
        <w:rPr>
          <w:lang w:eastAsia="zh-CN"/>
        </w:rPr>
      </w:pPr>
      <w:r>
        <w:rPr>
          <w:rFonts w:hint="eastAsia"/>
          <w:sz w:val="22"/>
          <w:szCs w:val="24"/>
          <w:lang w:val="en-US" w:eastAsia="zh-CN"/>
        </w:rPr>
        <w:t>R1-2210298</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 xml:space="preserve">FL Summary EoM for AI9.4.2, </w:t>
      </w:r>
      <w:r>
        <w:t>Fraunhofer HHI</w:t>
      </w:r>
      <w:r>
        <w:rPr>
          <w:rFonts w:hint="eastAsia"/>
          <w:lang w:val="en-US" w:eastAsia="zh-CN"/>
        </w:rPr>
        <w:t>, 2022-10</w:t>
      </w:r>
    </w:p>
    <w:p>
      <w:pPr>
        <w:pStyle w:val="61"/>
        <w:numPr>
          <w:ilvl w:val="0"/>
          <w:numId w:val="0"/>
        </w:numPr>
        <w:ind w:leftChars="0"/>
        <w:jc w:val="left"/>
        <w:rPr>
          <w:lang w:eastAsia="zh-CN"/>
        </w:rPr>
      </w:pP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imes-Roman">
    <w:altName w:val="Times New Roman"/>
    <w:panose1 w:val="00000000000000000000"/>
    <w:charset w:val="00"/>
    <w:family w:val="auto"/>
    <w:pitch w:val="default"/>
    <w:sig w:usb0="00000000" w:usb1="00000000" w:usb2="00000000" w:usb3="00000000" w:csb0="00040001" w:csb1="00000000"/>
  </w:font>
  <w:font w:name="Times-Italic">
    <w:altName w:val="Segoe Print"/>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E5B89C"/>
    <w:multiLevelType w:val="singleLevel"/>
    <w:tmpl w:val="88E5B89C"/>
    <w:lvl w:ilvl="0" w:tentative="0">
      <w:start w:val="1"/>
      <w:numFmt w:val="bullet"/>
      <w:lvlText w:val=""/>
      <w:lvlJc w:val="left"/>
      <w:pPr>
        <w:tabs>
          <w:tab w:val="left" w:pos="840"/>
        </w:tabs>
        <w:ind w:left="1260" w:hanging="420"/>
      </w:pPr>
      <w:rPr>
        <w:rFonts w:hint="default" w:ascii="Wingdings" w:hAnsi="Wingdings"/>
      </w:rPr>
    </w:lvl>
  </w:abstractNum>
  <w:abstractNum w:abstractNumId="1">
    <w:nsid w:val="B14B62A1"/>
    <w:multiLevelType w:val="singleLevel"/>
    <w:tmpl w:val="B14B62A1"/>
    <w:lvl w:ilvl="0" w:tentative="0">
      <w:start w:val="1"/>
      <w:numFmt w:val="bullet"/>
      <w:lvlText w:val=""/>
      <w:lvlJc w:val="left"/>
      <w:pPr>
        <w:ind w:left="420" w:hanging="420"/>
      </w:pPr>
      <w:rPr>
        <w:rFonts w:hint="default" w:ascii="Wingdings" w:hAnsi="Wingdings"/>
      </w:rPr>
    </w:lvl>
  </w:abstractNum>
  <w:abstractNum w:abstractNumId="2">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43"/>
      <w:lvlText w:val="[%1]"/>
      <w:lvlJc w:val="left"/>
      <w:pPr>
        <w:tabs>
          <w:tab w:val="left" w:pos="360"/>
        </w:tabs>
        <w:ind w:left="360" w:hanging="360"/>
      </w:pPr>
    </w:lvl>
  </w:abstractNum>
  <w:abstractNum w:abstractNumId="6">
    <w:nsid w:val="3BCD65BD"/>
    <w:multiLevelType w:val="multilevel"/>
    <w:tmpl w:val="3BCD65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3BE0782"/>
    <w:multiLevelType w:val="multilevel"/>
    <w:tmpl w:val="43BE07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45D2774"/>
    <w:multiLevelType w:val="singleLevel"/>
    <w:tmpl w:val="445D2774"/>
    <w:lvl w:ilvl="0" w:tentative="0">
      <w:start w:val="1"/>
      <w:numFmt w:val="bullet"/>
      <w:lvlText w:val=""/>
      <w:lvlJc w:val="left"/>
      <w:pPr>
        <w:tabs>
          <w:tab w:val="left" w:pos="420"/>
        </w:tabs>
        <w:ind w:left="840" w:hanging="420"/>
      </w:pPr>
      <w:rPr>
        <w:rFonts w:hint="default" w:ascii="Wingdings" w:hAnsi="Wingdings"/>
      </w:rPr>
    </w:lvl>
  </w:abstractNum>
  <w:abstractNum w:abstractNumId="9">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1">
    <w:nsid w:val="4FA1069D"/>
    <w:multiLevelType w:val="multilevel"/>
    <w:tmpl w:val="4FA1069D"/>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2">
    <w:nsid w:val="509F3E04"/>
    <w:multiLevelType w:val="singleLevel"/>
    <w:tmpl w:val="509F3E04"/>
    <w:lvl w:ilvl="0" w:tentative="0">
      <w:start w:val="4"/>
      <w:numFmt w:val="decimal"/>
      <w:suff w:val="space"/>
      <w:lvlText w:val="%1."/>
      <w:lvlJc w:val="left"/>
    </w:lvl>
  </w:abstractNum>
  <w:abstractNum w:abstractNumId="13">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74CC7506"/>
    <w:multiLevelType w:val="multilevel"/>
    <w:tmpl w:val="74CC7506"/>
    <w:lvl w:ilvl="0" w:tentative="0">
      <w:start w:val="1"/>
      <w:numFmt w:val="decimal"/>
      <w:pStyle w:val="4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6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BC330F5"/>
    <w:multiLevelType w:val="multilevel"/>
    <w:tmpl w:val="7BC330F5"/>
    <w:lvl w:ilvl="0" w:tentative="0">
      <w:start w:val="1"/>
      <w:numFmt w:val="bullet"/>
      <w:pStyle w:val="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3"/>
  </w:num>
  <w:num w:numId="3">
    <w:abstractNumId w:val="16"/>
  </w:num>
  <w:num w:numId="4">
    <w:abstractNumId w:val="5"/>
  </w:num>
  <w:num w:numId="5">
    <w:abstractNumId w:val="14"/>
  </w:num>
  <w:num w:numId="6">
    <w:abstractNumId w:val="9"/>
  </w:num>
  <w:num w:numId="7">
    <w:abstractNumId w:val="15"/>
  </w:num>
  <w:num w:numId="8">
    <w:abstractNumId w:val="10"/>
  </w:num>
  <w:num w:numId="9">
    <w:abstractNumId w:val="12"/>
  </w:num>
  <w:num w:numId="10">
    <w:abstractNumId w:val="2"/>
  </w:num>
  <w:num w:numId="11">
    <w:abstractNumId w:val="11"/>
  </w:num>
  <w:num w:numId="12">
    <w:abstractNumId w:val="7"/>
  </w:num>
  <w:num w:numId="13">
    <w:abstractNumId w:val="6"/>
  </w:num>
  <w:num w:numId="14">
    <w:abstractNumId w:val="8"/>
  </w:num>
  <w:num w:numId="15">
    <w:abstractNumId w:val="0"/>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3B528F4"/>
    <w:rsid w:val="05F32C94"/>
    <w:rsid w:val="0A117D20"/>
    <w:rsid w:val="0B602FBE"/>
    <w:rsid w:val="0C3403DC"/>
    <w:rsid w:val="0E196328"/>
    <w:rsid w:val="0EC4383D"/>
    <w:rsid w:val="14283870"/>
    <w:rsid w:val="147C5149"/>
    <w:rsid w:val="192E0655"/>
    <w:rsid w:val="1ADF4FC4"/>
    <w:rsid w:val="1F4B31FF"/>
    <w:rsid w:val="23602280"/>
    <w:rsid w:val="24B01D81"/>
    <w:rsid w:val="250C31CF"/>
    <w:rsid w:val="2B1B4AC5"/>
    <w:rsid w:val="2C84203A"/>
    <w:rsid w:val="2E3E13E7"/>
    <w:rsid w:val="2FEC1934"/>
    <w:rsid w:val="30C940FC"/>
    <w:rsid w:val="36CA79FC"/>
    <w:rsid w:val="3A3A1EAE"/>
    <w:rsid w:val="3C0D37FB"/>
    <w:rsid w:val="42495793"/>
    <w:rsid w:val="43B92A18"/>
    <w:rsid w:val="45ED6C35"/>
    <w:rsid w:val="46AC0BC4"/>
    <w:rsid w:val="48163958"/>
    <w:rsid w:val="48792000"/>
    <w:rsid w:val="487B3D28"/>
    <w:rsid w:val="48B03A9C"/>
    <w:rsid w:val="55B647D4"/>
    <w:rsid w:val="568F505C"/>
    <w:rsid w:val="59544AAC"/>
    <w:rsid w:val="596318AA"/>
    <w:rsid w:val="5B8C599C"/>
    <w:rsid w:val="6407789F"/>
    <w:rsid w:val="643111CD"/>
    <w:rsid w:val="6AC8766D"/>
    <w:rsid w:val="6BD73297"/>
    <w:rsid w:val="6C941265"/>
    <w:rsid w:val="70316D71"/>
    <w:rsid w:val="70DC11F3"/>
    <w:rsid w:val="71F604BB"/>
    <w:rsid w:val="72E826E6"/>
    <w:rsid w:val="742825D8"/>
    <w:rsid w:val="745E0D6E"/>
    <w:rsid w:val="78847468"/>
    <w:rsid w:val="7A7A6B56"/>
    <w:rsid w:val="7DBF7E6A"/>
    <w:rsid w:val="7DCF405A"/>
    <w:rsid w:val="7DEF34B5"/>
    <w:rsid w:val="7E3D07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8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100"/>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88"/>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94"/>
    <w:qFormat/>
    <w:uiPriority w:val="0"/>
    <w:rPr>
      <w:rFonts w:ascii="宋体"/>
      <w:sz w:val="18"/>
      <w:szCs w:val="18"/>
    </w:rPr>
  </w:style>
  <w:style w:type="paragraph" w:styleId="15">
    <w:name w:val="annotation text"/>
    <w:basedOn w:val="1"/>
    <w:link w:val="74"/>
    <w:qFormat/>
    <w:uiPriority w:val="0"/>
    <w:rPr>
      <w:sz w:val="20"/>
      <w:szCs w:val="20"/>
    </w:rPr>
  </w:style>
  <w:style w:type="paragraph" w:styleId="16">
    <w:name w:val="Body Text"/>
    <w:basedOn w:val="1"/>
    <w:link w:val="101"/>
    <w:qFormat/>
    <w:uiPriority w:val="0"/>
    <w:rPr>
      <w:sz w:val="20"/>
      <w:szCs w:val="20"/>
    </w:rPr>
  </w:style>
  <w:style w:type="paragraph" w:styleId="17">
    <w:name w:val="Body Text Indent"/>
    <w:basedOn w:val="1"/>
    <w:link w:val="72"/>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5"/>
    <w:qFormat/>
    <w:uiPriority w:val="0"/>
    <w:pPr>
      <w:tabs>
        <w:tab w:val="center" w:pos="4680"/>
        <w:tab w:val="right" w:pos="9360"/>
      </w:tabs>
    </w:pPr>
  </w:style>
  <w:style w:type="paragraph" w:styleId="22">
    <w:name w:val="header"/>
    <w:basedOn w:val="1"/>
    <w:link w:val="98"/>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3"/>
    <w:qFormat/>
    <w:uiPriority w:val="0"/>
    <w:rPr>
      <w:b/>
      <w:bCs/>
    </w:rPr>
  </w:style>
  <w:style w:type="paragraph" w:styleId="28">
    <w:name w:val="Body Text First Indent 2"/>
    <w:basedOn w:val="17"/>
    <w:link w:val="97"/>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样式 段前: 6 磅 底端: (单实线 自动设置  1.5 磅 行宽)"/>
    <w:basedOn w:val="1"/>
    <w:qFormat/>
    <w:uiPriority w:val="0"/>
    <w:pPr>
      <w:spacing w:before="120"/>
    </w:pPr>
    <w:rPr>
      <w:rFonts w:cs="宋体"/>
      <w:szCs w:val="20"/>
    </w:rPr>
  </w:style>
  <w:style w:type="paragraph" w:customStyle="1" w:styleId="39">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0">
    <w:name w:val="CR Cover Page"/>
    <w:qFormat/>
    <w:uiPriority w:val="0"/>
    <w:pPr>
      <w:spacing w:after="120"/>
    </w:pPr>
    <w:rPr>
      <w:rFonts w:ascii="Arial" w:hAnsi="Arial" w:eastAsia="Times New Roman" w:cs="Times New Roman"/>
      <w:lang w:val="en-GB" w:eastAsia="en-US" w:bidi="ar-SA"/>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3">
    <w:name w:val="References"/>
    <w:basedOn w:val="1"/>
    <w:qFormat/>
    <w:uiPriority w:val="0"/>
    <w:pPr>
      <w:numPr>
        <w:ilvl w:val="0"/>
        <w:numId w:val="4"/>
      </w:numPr>
      <w:adjustRightInd/>
      <w:spacing w:after="60"/>
      <w:jc w:val="left"/>
    </w:pPr>
    <w:rPr>
      <w:sz w:val="20"/>
      <w:szCs w:val="16"/>
    </w:rPr>
  </w:style>
  <w:style w:type="paragraph" w:customStyle="1" w:styleId="44">
    <w:name w:val="3GPP Normal Text"/>
    <w:basedOn w:val="16"/>
    <w:qFormat/>
    <w:uiPriority w:val="0"/>
    <w:pPr>
      <w:overflowPunct/>
      <w:autoSpaceDE/>
      <w:autoSpaceDN/>
      <w:adjustRightInd/>
      <w:textAlignment w:val="auto"/>
    </w:pPr>
    <w:rPr>
      <w:rFonts w:ascii="Times New Roman" w:hAnsi="Times New Roman" w:eastAsia="MS Mincho"/>
      <w:sz w:val="22"/>
    </w:rPr>
  </w:style>
  <w:style w:type="paragraph" w:customStyle="1" w:styleId="4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
    <w:name w:val="TF"/>
    <w:basedOn w:val="48"/>
    <w:link w:val="84"/>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8">
    <w:name w:val="TH"/>
    <w:basedOn w:val="1"/>
    <w:link w:val="93"/>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9">
    <w:name w:val="TAL"/>
    <w:basedOn w:val="1"/>
    <w:qFormat/>
    <w:uiPriority w:val="0"/>
    <w:pPr>
      <w:keepNext/>
      <w:keepLines/>
      <w:spacing w:after="0"/>
    </w:pPr>
    <w:rPr>
      <w:rFonts w:ascii="Arial" w:hAnsi="Arial"/>
      <w:sz w:val="18"/>
      <w:lang w:eastAsia="zh-CN"/>
    </w:rPr>
  </w:style>
  <w:style w:type="paragraph" w:customStyle="1" w:styleId="50">
    <w:name w:val="TAH"/>
    <w:basedOn w:val="51"/>
    <w:link w:val="95"/>
    <w:qFormat/>
    <w:uiPriority w:val="0"/>
    <w:pPr>
      <w:overflowPunct/>
      <w:autoSpaceDE/>
      <w:autoSpaceDN/>
      <w:adjustRightInd/>
      <w:textAlignment w:val="auto"/>
    </w:pPr>
    <w:rPr>
      <w:rFonts w:eastAsia="Malgun Gothic"/>
      <w:b/>
      <w:color w:val="000000"/>
    </w:rPr>
  </w:style>
  <w:style w:type="paragraph" w:customStyle="1" w:styleId="51">
    <w:name w:val="TAC"/>
    <w:basedOn w:val="49"/>
    <w:link w:val="9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2">
    <w:name w:val="B1"/>
    <w:basedOn w:val="13"/>
    <w:link w:val="87"/>
    <w:qFormat/>
    <w:uiPriority w:val="0"/>
    <w:pPr>
      <w:autoSpaceDE/>
      <w:autoSpaceDN/>
      <w:adjustRightInd/>
      <w:snapToGrid/>
      <w:spacing w:after="180"/>
      <w:ind w:left="568" w:hanging="284"/>
      <w:jc w:val="left"/>
    </w:pPr>
    <w:rPr>
      <w:sz w:val="20"/>
      <w:szCs w:val="20"/>
      <w:lang w:val="en-GB"/>
    </w:rPr>
  </w:style>
  <w:style w:type="paragraph" w:customStyle="1" w:styleId="5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0">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styleId="61">
    <w:name w:val="List Paragraph"/>
    <w:basedOn w:val="1"/>
    <w:link w:val="86"/>
    <w:qFormat/>
    <w:uiPriority w:val="34"/>
    <w:pPr>
      <w:ind w:firstLine="420" w:firstLineChars="200"/>
    </w:pPr>
  </w:style>
  <w:style w:type="paragraph" w:customStyle="1" w:styleId="62">
    <w:name w:val="body"/>
    <w:basedOn w:val="1"/>
    <w:link w:val="99"/>
    <w:qFormat/>
    <w:uiPriority w:val="0"/>
    <w:pPr>
      <w:autoSpaceDE/>
      <w:autoSpaceDN/>
      <w:spacing w:before="120" w:after="220"/>
    </w:pPr>
    <w:rPr>
      <w:rFonts w:eastAsia="Batang"/>
      <w:snapToGrid w:val="0"/>
      <w:sz w:val="20"/>
      <w:szCs w:val="20"/>
      <w:lang w:val="en-GB" w:eastAsia="ko-KR"/>
    </w:rPr>
  </w:style>
  <w:style w:type="paragraph" w:customStyle="1" w:styleId="63">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4">
    <w:name w:val="tablecell"/>
    <w:basedOn w:val="1"/>
    <w:qFormat/>
    <w:uiPriority w:val="0"/>
    <w:pPr>
      <w:spacing w:before="40" w:after="40"/>
      <w:jc w:val="left"/>
    </w:pPr>
    <w:rPr>
      <w:rFonts w:hAnsi="Arial" w:cs="Arial"/>
      <w:sz w:val="20"/>
      <w:szCs w:val="20"/>
      <w:lang w:eastAsia="ja-JP"/>
    </w:rPr>
  </w:style>
  <w:style w:type="paragraph" w:customStyle="1" w:styleId="65">
    <w:name w:val="MTDisplayEquation"/>
    <w:basedOn w:val="1"/>
    <w:next w:val="1"/>
    <w:link w:val="81"/>
    <w:qFormat/>
    <w:uiPriority w:val="0"/>
    <w:pPr>
      <w:pBdr>
        <w:bottom w:val="single" w:color="auto" w:sz="12" w:space="1"/>
      </w:pBdr>
      <w:tabs>
        <w:tab w:val="center" w:pos="4660"/>
        <w:tab w:val="right" w:pos="9320"/>
      </w:tabs>
    </w:pPr>
    <w:rPr>
      <w:lang w:eastAsia="zh-CN"/>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Guidance"/>
    <w:basedOn w:val="1"/>
    <w:link w:val="82"/>
    <w:qFormat/>
    <w:uiPriority w:val="0"/>
    <w:pPr>
      <w:autoSpaceDE/>
      <w:autoSpaceDN/>
      <w:adjustRightInd/>
      <w:snapToGrid/>
      <w:spacing w:after="180"/>
      <w:jc w:val="left"/>
    </w:pPr>
    <w:rPr>
      <w:i/>
      <w:color w:val="0000FF"/>
      <w:sz w:val="20"/>
      <w:szCs w:val="20"/>
      <w:lang w:val="en-GB"/>
    </w:rPr>
  </w:style>
  <w:style w:type="paragraph" w:customStyle="1" w:styleId="6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69">
    <w:name w:val="Revision"/>
    <w:semiHidden/>
    <w:qFormat/>
    <w:uiPriority w:val="99"/>
    <w:rPr>
      <w:rFonts w:ascii="Times New Roman" w:hAnsi="Times New Roman" w:eastAsia="宋体" w:cs="Times New Roman"/>
      <w:sz w:val="22"/>
      <w:szCs w:val="22"/>
      <w:lang w:val="en-US" w:eastAsia="en-US" w:bidi="ar-SA"/>
    </w:rPr>
  </w:style>
  <w:style w:type="paragraph" w:customStyle="1" w:styleId="70">
    <w:name w:val="样式 段前: 6 磅 底端: (单实线 自动设置  1.5 磅 行宽)2"/>
    <w:basedOn w:val="1"/>
    <w:qFormat/>
    <w:uiPriority w:val="0"/>
    <w:pPr>
      <w:spacing w:before="120"/>
    </w:pPr>
    <w:rPr>
      <w:rFonts w:cs="宋体"/>
      <w:szCs w:val="20"/>
    </w:rPr>
  </w:style>
  <w:style w:type="paragraph" w:customStyle="1" w:styleId="71">
    <w:name w:val="样式 段前: 6 磅 底端: (单实线 自动设置  1.5 磅 行宽)1"/>
    <w:basedOn w:val="1"/>
    <w:qFormat/>
    <w:uiPriority w:val="0"/>
    <w:pPr>
      <w:spacing w:before="120"/>
    </w:pPr>
    <w:rPr>
      <w:rFonts w:cs="宋体"/>
      <w:szCs w:val="20"/>
    </w:rPr>
  </w:style>
  <w:style w:type="character" w:customStyle="1" w:styleId="72">
    <w:name w:val="正文文本缩进 字符"/>
    <w:basedOn w:val="32"/>
    <w:link w:val="17"/>
    <w:qFormat/>
    <w:uiPriority w:val="0"/>
    <w:rPr>
      <w:sz w:val="22"/>
      <w:szCs w:val="22"/>
      <w:lang w:eastAsia="en-US"/>
    </w:rPr>
  </w:style>
  <w:style w:type="character" w:customStyle="1" w:styleId="73">
    <w:name w:val="批注主题 字符"/>
    <w:basedOn w:val="74"/>
    <w:link w:val="27"/>
    <w:qFormat/>
    <w:uiPriority w:val="0"/>
    <w:rPr>
      <w:b/>
      <w:bCs/>
      <w:lang w:eastAsia="en-US"/>
    </w:rPr>
  </w:style>
  <w:style w:type="character" w:customStyle="1" w:styleId="74">
    <w:name w:val="批注文字 字符"/>
    <w:basedOn w:val="32"/>
    <w:link w:val="15"/>
    <w:qFormat/>
    <w:uiPriority w:val="0"/>
    <w:rPr>
      <w:lang w:eastAsia="en-US"/>
    </w:rPr>
  </w:style>
  <w:style w:type="character" w:customStyle="1" w:styleId="75">
    <w:name w:val="huawei"/>
    <w:basedOn w:val="32"/>
    <w:qFormat/>
    <w:uiPriority w:val="0"/>
  </w:style>
  <w:style w:type="character" w:customStyle="1" w:styleId="76">
    <w:name w:val="apple-converted-space"/>
    <w:basedOn w:val="32"/>
    <w:qFormat/>
    <w:uiPriority w:val="0"/>
  </w:style>
  <w:style w:type="character" w:customStyle="1" w:styleId="77">
    <w:name w:val="fontstyle01"/>
    <w:basedOn w:val="32"/>
    <w:qFormat/>
    <w:uiPriority w:val="0"/>
    <w:rPr>
      <w:rFonts w:ascii="Times-Roman" w:hAnsi="Times-Roman" w:eastAsia="Times-Roman" w:cs="Times-Roman"/>
      <w:color w:val="000000"/>
      <w:sz w:val="20"/>
      <w:szCs w:val="20"/>
    </w:rPr>
  </w:style>
  <w:style w:type="character" w:customStyle="1" w:styleId="78">
    <w:name w:val="B1 Char1"/>
    <w:qFormat/>
    <w:uiPriority w:val="0"/>
    <w:rPr>
      <w:lang w:val="en-GB" w:eastAsia="en-US"/>
    </w:rPr>
  </w:style>
  <w:style w:type="character" w:customStyle="1" w:styleId="79">
    <w:name w:val="B1 Char"/>
    <w:qFormat/>
    <w:uiPriority w:val="0"/>
    <w:rPr>
      <w:lang w:val="en-GB"/>
    </w:rPr>
  </w:style>
  <w:style w:type="character" w:customStyle="1" w:styleId="80">
    <w:name w:val="MTEquationSection"/>
    <w:basedOn w:val="32"/>
    <w:qFormat/>
    <w:uiPriority w:val="0"/>
    <w:rPr>
      <w:b/>
      <w:vanish/>
      <w:color w:val="FF0000"/>
      <w:lang w:eastAsia="zh-CN"/>
    </w:rPr>
  </w:style>
  <w:style w:type="character" w:customStyle="1" w:styleId="81">
    <w:name w:val="MTDisplayEquation Char"/>
    <w:basedOn w:val="32"/>
    <w:link w:val="65"/>
    <w:qFormat/>
    <w:uiPriority w:val="0"/>
    <w:rPr>
      <w:sz w:val="22"/>
      <w:szCs w:val="22"/>
    </w:rPr>
  </w:style>
  <w:style w:type="character" w:customStyle="1" w:styleId="82">
    <w:name w:val="Guidance Char"/>
    <w:basedOn w:val="32"/>
    <w:link w:val="67"/>
    <w:qFormat/>
    <w:uiPriority w:val="0"/>
    <w:rPr>
      <w:i/>
      <w:color w:val="0000FF"/>
      <w:lang w:val="en-GB" w:eastAsia="en-US"/>
    </w:rPr>
  </w:style>
  <w:style w:type="character" w:styleId="83">
    <w:name w:val="Placeholder Text"/>
    <w:basedOn w:val="32"/>
    <w:semiHidden/>
    <w:qFormat/>
    <w:uiPriority w:val="99"/>
    <w:rPr>
      <w:color w:val="808080"/>
    </w:rPr>
  </w:style>
  <w:style w:type="character" w:customStyle="1" w:styleId="84">
    <w:name w:val="TF Char"/>
    <w:link w:val="47"/>
    <w:qFormat/>
    <w:uiPriority w:val="0"/>
    <w:rPr>
      <w:rFonts w:ascii="Arial" w:hAnsi="Arial"/>
      <w:b/>
      <w:lang w:val="zh-CN" w:eastAsia="zh-CN"/>
    </w:rPr>
  </w:style>
  <w:style w:type="character" w:customStyle="1" w:styleId="85">
    <w:name w:val="页脚 字符"/>
    <w:basedOn w:val="32"/>
    <w:link w:val="21"/>
    <w:qFormat/>
    <w:uiPriority w:val="0"/>
    <w:rPr>
      <w:sz w:val="22"/>
      <w:szCs w:val="22"/>
    </w:rPr>
  </w:style>
  <w:style w:type="character" w:customStyle="1" w:styleId="86">
    <w:name w:val="列出段落 字符"/>
    <w:link w:val="61"/>
    <w:qFormat/>
    <w:locked/>
    <w:uiPriority w:val="34"/>
    <w:rPr>
      <w:sz w:val="22"/>
      <w:szCs w:val="22"/>
      <w:lang w:eastAsia="en-US"/>
    </w:rPr>
  </w:style>
  <w:style w:type="character" w:customStyle="1" w:styleId="87">
    <w:name w:val="B1 (文字)"/>
    <w:link w:val="52"/>
    <w:qFormat/>
    <w:locked/>
    <w:uiPriority w:val="0"/>
    <w:rPr>
      <w:lang w:val="en-GB" w:eastAsia="en-US"/>
    </w:rPr>
  </w:style>
  <w:style w:type="character" w:customStyle="1" w:styleId="88">
    <w:name w:val="题注 字符"/>
    <w:basedOn w:val="32"/>
    <w:link w:val="11"/>
    <w:qFormat/>
    <w:uiPriority w:val="0"/>
    <w:rPr>
      <w:b/>
      <w:bCs/>
    </w:rPr>
  </w:style>
  <w:style w:type="character" w:customStyle="1" w:styleId="89">
    <w:name w:val="标题 1 字符"/>
    <w:basedOn w:val="32"/>
    <w:link w:val="2"/>
    <w:qFormat/>
    <w:uiPriority w:val="0"/>
    <w:rPr>
      <w:b/>
      <w:bCs/>
      <w:sz w:val="28"/>
      <w:szCs w:val="28"/>
      <w:lang w:eastAsia="en-US"/>
    </w:rPr>
  </w:style>
  <w:style w:type="character" w:customStyle="1" w:styleId="90">
    <w:name w:val="B1 Zchn"/>
    <w:qFormat/>
    <w:uiPriority w:val="0"/>
    <w:rPr>
      <w:lang w:eastAsia="en-US"/>
    </w:rPr>
  </w:style>
  <w:style w:type="character" w:customStyle="1" w:styleId="91">
    <w:name w:val="fontstyle21"/>
    <w:basedOn w:val="32"/>
    <w:qFormat/>
    <w:uiPriority w:val="0"/>
    <w:rPr>
      <w:rFonts w:ascii="Times-Italic" w:hAnsi="Times-Italic" w:eastAsia="Times-Italic" w:cs="Times-Italic"/>
      <w:i/>
      <w:color w:val="000000"/>
      <w:sz w:val="20"/>
      <w:szCs w:val="20"/>
    </w:rPr>
  </w:style>
  <w:style w:type="character" w:customStyle="1" w:styleId="92">
    <w:name w:val="word"/>
    <w:basedOn w:val="32"/>
    <w:qFormat/>
    <w:uiPriority w:val="0"/>
  </w:style>
  <w:style w:type="character" w:customStyle="1" w:styleId="93">
    <w:name w:val="TH Char"/>
    <w:link w:val="48"/>
    <w:qFormat/>
    <w:uiPriority w:val="0"/>
    <w:rPr>
      <w:rFonts w:ascii="Arial" w:hAnsi="Arial" w:eastAsia="Times New Roman"/>
      <w:b/>
      <w:lang w:val="en-GB" w:eastAsia="en-US"/>
    </w:rPr>
  </w:style>
  <w:style w:type="character" w:customStyle="1" w:styleId="94">
    <w:name w:val="文档结构图 字符"/>
    <w:basedOn w:val="32"/>
    <w:link w:val="14"/>
    <w:qFormat/>
    <w:uiPriority w:val="0"/>
    <w:rPr>
      <w:rFonts w:ascii="宋体"/>
      <w:sz w:val="18"/>
      <w:szCs w:val="18"/>
      <w:lang w:eastAsia="en-US"/>
    </w:rPr>
  </w:style>
  <w:style w:type="character" w:customStyle="1" w:styleId="95">
    <w:name w:val="TAH Car"/>
    <w:link w:val="50"/>
    <w:qFormat/>
    <w:uiPriority w:val="0"/>
    <w:rPr>
      <w:rFonts w:ascii="Arial" w:hAnsi="Arial" w:eastAsia="Malgun Gothic"/>
      <w:b/>
      <w:color w:val="000000"/>
      <w:sz w:val="18"/>
      <w:lang w:val="en-GB" w:eastAsia="ja-JP"/>
    </w:rPr>
  </w:style>
  <w:style w:type="character" w:customStyle="1" w:styleId="96">
    <w:name w:val="TAC Char"/>
    <w:basedOn w:val="32"/>
    <w:link w:val="51"/>
    <w:qFormat/>
    <w:uiPriority w:val="0"/>
    <w:rPr>
      <w:rFonts w:ascii="Arial" w:hAnsi="Arial" w:eastAsia="Times New Roman"/>
      <w:sz w:val="18"/>
      <w:lang w:val="en-GB" w:eastAsia="ja-JP"/>
    </w:rPr>
  </w:style>
  <w:style w:type="character" w:customStyle="1" w:styleId="97">
    <w:name w:val="正文首行缩进 2 字符"/>
    <w:basedOn w:val="72"/>
    <w:link w:val="28"/>
    <w:qFormat/>
    <w:uiPriority w:val="0"/>
    <w:rPr>
      <w:sz w:val="22"/>
      <w:szCs w:val="22"/>
      <w:lang w:eastAsia="en-US"/>
    </w:rPr>
  </w:style>
  <w:style w:type="character" w:customStyle="1" w:styleId="98">
    <w:name w:val="页眉 字符"/>
    <w:basedOn w:val="32"/>
    <w:link w:val="22"/>
    <w:qFormat/>
    <w:uiPriority w:val="0"/>
    <w:rPr>
      <w:sz w:val="22"/>
      <w:szCs w:val="22"/>
    </w:rPr>
  </w:style>
  <w:style w:type="character" w:customStyle="1" w:styleId="99">
    <w:name w:val="body Char"/>
    <w:basedOn w:val="32"/>
    <w:link w:val="62"/>
    <w:qFormat/>
    <w:uiPriority w:val="0"/>
    <w:rPr>
      <w:rFonts w:eastAsia="Batang"/>
      <w:snapToGrid w:val="0"/>
      <w:lang w:val="en-GB" w:eastAsia="ko-KR"/>
    </w:rPr>
  </w:style>
  <w:style w:type="character" w:customStyle="1" w:styleId="100">
    <w:name w:val="标题 3 字符"/>
    <w:basedOn w:val="32"/>
    <w:link w:val="4"/>
    <w:qFormat/>
    <w:uiPriority w:val="0"/>
    <w:rPr>
      <w:b/>
      <w:sz w:val="22"/>
      <w:szCs w:val="22"/>
      <w:lang w:val="en-GB" w:eastAsia="en-US"/>
    </w:rPr>
  </w:style>
  <w:style w:type="character" w:customStyle="1" w:styleId="101">
    <w:name w:val="正文文本 字符"/>
    <w:basedOn w:val="32"/>
    <w:link w:val="16"/>
    <w:qFormat/>
    <w:uiPriority w:val="0"/>
    <w:rPr>
      <w:lang w:eastAsia="en-US"/>
    </w:rPr>
  </w:style>
  <w:style w:type="table" w:customStyle="1" w:styleId="102">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3">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3</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2023-02-17T05:56:06Z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